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3092B" w14:textId="051103D1" w:rsidR="00764D6A" w:rsidRDefault="00BD538D" w:rsidP="00132DD5">
      <w:pPr>
        <w:pStyle w:val="Heading1"/>
      </w:pPr>
      <w:bookmarkStart w:id="0" w:name="_Hlk112230633"/>
      <w:bookmarkStart w:id="1" w:name="_Hlk98417693"/>
      <w:bookmarkEnd w:id="0"/>
      <w:r w:rsidRPr="00E24BF2">
        <w:rPr>
          <w:color w:val="004661"/>
          <w:sz w:val="42"/>
          <w:szCs w:val="4"/>
        </w:rPr>
        <w:t xml:space="preserve">Water Efficiency Labelling and Standards </w:t>
      </w:r>
      <w:r w:rsidR="00A02053">
        <w:rPr>
          <w:color w:val="004661"/>
          <w:sz w:val="42"/>
          <w:szCs w:val="4"/>
        </w:rPr>
        <w:t>s</w:t>
      </w:r>
      <w:r w:rsidRPr="00E24BF2">
        <w:rPr>
          <w:color w:val="004661"/>
          <w:sz w:val="42"/>
          <w:szCs w:val="4"/>
        </w:rPr>
        <w:t xml:space="preserve">cheme </w:t>
      </w:r>
      <w:r w:rsidR="00307E68" w:rsidRPr="00E24BF2">
        <w:rPr>
          <w:color w:val="004661"/>
        </w:rPr>
        <w:t>Compliance and Enforcement Policy</w:t>
      </w:r>
    </w:p>
    <w:p w14:paraId="632D0DC4" w14:textId="5B15DA55" w:rsidR="00381FF0" w:rsidRPr="00381FF0" w:rsidRDefault="00381FF0" w:rsidP="00132DD5">
      <w:pPr>
        <w:pStyle w:val="Heading1"/>
        <w:rPr>
          <w:sz w:val="24"/>
          <w:szCs w:val="24"/>
        </w:rPr>
      </w:pPr>
      <w:r w:rsidRPr="00381FF0">
        <w:rPr>
          <w:sz w:val="24"/>
          <w:szCs w:val="24"/>
        </w:rPr>
        <w:t>2022</w:t>
      </w:r>
    </w:p>
    <w:bookmarkEnd w:id="1"/>
    <w:p w14:paraId="4CA36899" w14:textId="77777777" w:rsidR="00291ABB" w:rsidRDefault="00291ABB">
      <w:pPr>
        <w:pStyle w:val="Normalsmall"/>
        <w:sectPr w:rsidR="00291ABB" w:rsidSect="0061002E">
          <w:headerReference w:type="default" r:id="rId11"/>
          <w:pgSz w:w="11906" w:h="16838"/>
          <w:pgMar w:top="3828" w:right="1418" w:bottom="1418" w:left="1418" w:header="567" w:footer="283" w:gutter="0"/>
          <w:pgNumType w:start="1"/>
          <w:cols w:space="708"/>
          <w:docGrid w:linePitch="360"/>
        </w:sectPr>
      </w:pPr>
    </w:p>
    <w:p w14:paraId="33F09557" w14:textId="77777777" w:rsidR="00764D6A" w:rsidRDefault="00BD538D">
      <w:pPr>
        <w:pStyle w:val="Normalsmall"/>
      </w:pPr>
      <w:bookmarkStart w:id="2" w:name="_Hlk98418150"/>
      <w:r>
        <w:lastRenderedPageBreak/>
        <w:t xml:space="preserve">© Commonwealth of Australia </w:t>
      </w:r>
      <w:r w:rsidR="00B97E61">
        <w:t>202</w:t>
      </w:r>
      <w:r w:rsidR="00176594">
        <w:t>2</w:t>
      </w:r>
    </w:p>
    <w:p w14:paraId="2F9E09B1" w14:textId="77777777" w:rsidR="00764D6A" w:rsidRDefault="00BD538D">
      <w:pPr>
        <w:pStyle w:val="Normalsmall"/>
        <w:rPr>
          <w:rStyle w:val="Strong"/>
        </w:rPr>
      </w:pPr>
      <w:r>
        <w:rPr>
          <w:rStyle w:val="Strong"/>
        </w:rPr>
        <w:t>Ownership of intellectual property rights</w:t>
      </w:r>
    </w:p>
    <w:p w14:paraId="5CE69208" w14:textId="77777777" w:rsidR="00764D6A" w:rsidRDefault="00BD538D">
      <w:pPr>
        <w:pStyle w:val="Normalsmall"/>
      </w:pPr>
      <w:r>
        <w:t>Unless otherwise noted, copyright (and any other intellectual property rights) in this publication is owned by the Commonwealth of Australia (referred to as the Commonwealth).</w:t>
      </w:r>
    </w:p>
    <w:p w14:paraId="147D28BB" w14:textId="77777777" w:rsidR="00764D6A" w:rsidRDefault="00BD538D">
      <w:pPr>
        <w:pStyle w:val="Normalsmall"/>
        <w:rPr>
          <w:rStyle w:val="Strong"/>
        </w:rPr>
      </w:pPr>
      <w:r>
        <w:rPr>
          <w:rStyle w:val="Strong"/>
        </w:rPr>
        <w:t>Creative Commons licence</w:t>
      </w:r>
    </w:p>
    <w:p w14:paraId="20905006" w14:textId="52938B11" w:rsidR="00764D6A" w:rsidRDefault="00BD538D">
      <w:pPr>
        <w:pStyle w:val="Normalsmall"/>
      </w:pPr>
      <w:r>
        <w:t xml:space="preserve">All material in this publication is licensed under a </w:t>
      </w:r>
      <w:r w:rsidRPr="00733335">
        <w:t>Creative Commons Attribution 4.0 International Licence</w:t>
      </w:r>
      <w:r>
        <w:t xml:space="preserve"> except content supplied by third parties, </w:t>
      </w:r>
      <w:r w:rsidR="00BC0624">
        <w:t>logos,</w:t>
      </w:r>
      <w:r>
        <w:t xml:space="preserve"> and the Commonwealth Coat of Arms.</w:t>
      </w:r>
    </w:p>
    <w:p w14:paraId="5B5AB199" w14:textId="3C5A57CA" w:rsidR="00764D6A" w:rsidRDefault="00BD538D">
      <w:pPr>
        <w:pStyle w:val="Normalsmall"/>
      </w:pPr>
      <w:r>
        <w:t xml:space="preserve">Inquiries about the licence and any use of this document should be emailed to </w:t>
      </w:r>
      <w:hyperlink r:id="rId12" w:history="1">
        <w:r w:rsidR="00743B85" w:rsidRPr="00877E7D">
          <w:rPr>
            <w:rStyle w:val="Hyperlink"/>
          </w:rPr>
          <w:t>copyright@</w:t>
        </w:r>
        <w:r w:rsidR="00743B85" w:rsidRPr="00046B0A">
          <w:rPr>
            <w:rStyle w:val="Hyperlink"/>
          </w:rPr>
          <w:t>dcceew</w:t>
        </w:r>
        <w:r w:rsidR="00743B85" w:rsidRPr="00877E7D">
          <w:rPr>
            <w:rStyle w:val="Hyperlink"/>
          </w:rPr>
          <w:t>.gov.au</w:t>
        </w:r>
      </w:hyperlink>
    </w:p>
    <w:p w14:paraId="415C15FF" w14:textId="77777777" w:rsidR="00764D6A" w:rsidRDefault="00BD538D">
      <w:pPr>
        <w:pStyle w:val="Normalsmall"/>
      </w:pPr>
      <w:r>
        <w:rPr>
          <w:noProof/>
          <w:lang w:eastAsia="en-AU"/>
        </w:rPr>
        <w:drawing>
          <wp:inline distT="0" distB="0" distL="0" distR="0" wp14:anchorId="60372F0A" wp14:editId="401482E0">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833964"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04C4A232" w14:textId="77777777" w:rsidR="00764D6A" w:rsidRDefault="00BD538D">
      <w:pPr>
        <w:pStyle w:val="Normalsmall"/>
        <w:rPr>
          <w:rStyle w:val="Strong"/>
        </w:rPr>
      </w:pPr>
      <w:r>
        <w:rPr>
          <w:rStyle w:val="Strong"/>
        </w:rPr>
        <w:t>Cataloguing data</w:t>
      </w:r>
    </w:p>
    <w:p w14:paraId="068F0161" w14:textId="32279F6D" w:rsidR="00764D6A" w:rsidRDefault="00BD538D" w:rsidP="00307E68">
      <w:pPr>
        <w:pStyle w:val="Normalsmall"/>
      </w:pPr>
      <w:r>
        <w:t xml:space="preserve">This publication (and any material sourced from it) should be attributed as: </w:t>
      </w:r>
      <w:r w:rsidR="00307E68" w:rsidRPr="00733335">
        <w:t>Water Efficiency Labelling and Standards Regulator 2022</w:t>
      </w:r>
      <w:r w:rsidRPr="00733335">
        <w:t xml:space="preserve">, </w:t>
      </w:r>
      <w:r w:rsidR="00307E68" w:rsidRPr="00307E68">
        <w:rPr>
          <w:i/>
        </w:rPr>
        <w:t xml:space="preserve">Water Efficiency Labelling and Standards </w:t>
      </w:r>
      <w:r w:rsidR="00C527FF">
        <w:rPr>
          <w:i/>
        </w:rPr>
        <w:t>S</w:t>
      </w:r>
      <w:r w:rsidR="00307E68" w:rsidRPr="00307E68">
        <w:rPr>
          <w:i/>
        </w:rPr>
        <w:t>cheme</w:t>
      </w:r>
      <w:r w:rsidR="00C527FF">
        <w:rPr>
          <w:i/>
        </w:rPr>
        <w:t xml:space="preserve"> </w:t>
      </w:r>
      <w:r w:rsidR="00C527FF" w:rsidRPr="00307E68">
        <w:rPr>
          <w:i/>
        </w:rPr>
        <w:t xml:space="preserve">Compliance </w:t>
      </w:r>
      <w:r w:rsidR="007E5CC0">
        <w:rPr>
          <w:i/>
        </w:rPr>
        <w:t xml:space="preserve">and enforcement </w:t>
      </w:r>
      <w:r w:rsidR="00C527FF" w:rsidRPr="00307E68">
        <w:rPr>
          <w:i/>
        </w:rPr>
        <w:t>Policy</w:t>
      </w:r>
      <w:r>
        <w:t xml:space="preserve">, </w:t>
      </w:r>
      <w:r w:rsidR="00B5740E">
        <w:t xml:space="preserve">Department of </w:t>
      </w:r>
      <w:r w:rsidR="00D05D12">
        <w:t>Climate Change, Energy, the Environment and Water</w:t>
      </w:r>
    </w:p>
    <w:p w14:paraId="776A199E" w14:textId="445E5CC1" w:rsidR="00764D6A" w:rsidRDefault="00BD538D">
      <w:pPr>
        <w:pStyle w:val="Normalsmall"/>
      </w:pPr>
      <w:r>
        <w:t xml:space="preserve">This publication is </w:t>
      </w:r>
      <w:r w:rsidRPr="00E20810">
        <w:t>available at</w:t>
      </w:r>
      <w:r w:rsidR="006F4692">
        <w:t xml:space="preserve"> </w:t>
      </w:r>
      <w:r w:rsidR="001E2301" w:rsidRPr="00733335">
        <w:t>waterrating.gov.au/enforce/our-approach</w:t>
      </w:r>
    </w:p>
    <w:p w14:paraId="6091E5A8" w14:textId="77777777" w:rsidR="00E67315" w:rsidRDefault="00BD538D">
      <w:pPr>
        <w:pStyle w:val="Normalsmall"/>
        <w:spacing w:after="0"/>
      </w:pPr>
      <w:r>
        <w:t xml:space="preserve">Department of </w:t>
      </w:r>
      <w:r w:rsidR="00D05D12">
        <w:t>Climate Change, Energy, the Environment and Water</w:t>
      </w:r>
      <w:r w:rsidR="00D05D12" w:rsidDel="00D05D12">
        <w:t xml:space="preserve"> </w:t>
      </w:r>
    </w:p>
    <w:p w14:paraId="23388A1D" w14:textId="1FF7E74F" w:rsidR="00764D6A" w:rsidRDefault="00BD538D">
      <w:pPr>
        <w:pStyle w:val="Normalsmall"/>
        <w:spacing w:after="0"/>
      </w:pPr>
      <w:r>
        <w:t xml:space="preserve">GPO Box </w:t>
      </w:r>
      <w:r w:rsidR="00E67315">
        <w:t>3090 Canberra</w:t>
      </w:r>
      <w:r>
        <w:t xml:space="preserve"> ACT 2601</w:t>
      </w:r>
    </w:p>
    <w:p w14:paraId="4B173D85" w14:textId="3E670ADC" w:rsidR="00764D6A" w:rsidRDefault="00BD538D">
      <w:pPr>
        <w:pStyle w:val="Normalsmall"/>
        <w:spacing w:after="0"/>
      </w:pPr>
      <w:r>
        <w:t xml:space="preserve">Telephone </w:t>
      </w:r>
      <w:r w:rsidRPr="00773056">
        <w:t xml:space="preserve">1800 </w:t>
      </w:r>
      <w:r w:rsidR="00D05D12">
        <w:t>372 746</w:t>
      </w:r>
    </w:p>
    <w:p w14:paraId="559FFFFE" w14:textId="12187005" w:rsidR="00764D6A" w:rsidRDefault="00BD538D">
      <w:pPr>
        <w:pStyle w:val="Normalsmall"/>
      </w:pPr>
      <w:r w:rsidRPr="00E20810">
        <w:t>Web</w:t>
      </w:r>
      <w:r w:rsidR="00DD1BE8">
        <w:t>site</w:t>
      </w:r>
      <w:r w:rsidRPr="00E20810">
        <w:t xml:space="preserve"> </w:t>
      </w:r>
      <w:r w:rsidR="00D05D12" w:rsidRPr="00D05D12">
        <w:t>www.dcceew.gov.au</w:t>
      </w:r>
    </w:p>
    <w:p w14:paraId="762C8398" w14:textId="77777777" w:rsidR="007C358A" w:rsidRDefault="00BD538D">
      <w:pPr>
        <w:pStyle w:val="Normalsmall"/>
      </w:pPr>
      <w:r>
        <w:rPr>
          <w:rStyle w:val="Strong"/>
        </w:rPr>
        <w:t>Disclaimer</w:t>
      </w:r>
    </w:p>
    <w:p w14:paraId="24C153A2" w14:textId="6165B2BE" w:rsidR="00764D6A" w:rsidRDefault="00BD538D">
      <w:pPr>
        <w:pStyle w:val="Normalsmall"/>
      </w:pPr>
      <w:r>
        <w:t xml:space="preserve">The Australian Government acting through the </w:t>
      </w:r>
      <w:r w:rsidR="00D05D12">
        <w:t>Department of Climate Change, Energy, the Environment and Water</w:t>
      </w:r>
      <w:r w:rsidR="00D05D12" w:rsidDel="00D05D12">
        <w:t xml:space="preserve"> </w:t>
      </w:r>
      <w:r>
        <w:t xml:space="preserve">has exercised due care and skill in preparing and compiling the information and data in this publication. Notwithstanding, the </w:t>
      </w:r>
      <w:r w:rsidR="00D05D12">
        <w:t>Department of Climate Change, Energy, the Environment and Water</w:t>
      </w:r>
      <w:r>
        <w:t xml:space="preserve">, its employees and advisers disclaim all liability, including liability for negligence and for any loss, damage, injury, </w:t>
      </w:r>
      <w:r w:rsidR="00E67315">
        <w:t>expense,</w:t>
      </w:r>
      <w:r>
        <w:t xml:space="preserve"> or cost incurred by any person </w:t>
      </w:r>
      <w:proofErr w:type="gramStart"/>
      <w:r>
        <w:t>as a result of</w:t>
      </w:r>
      <w:proofErr w:type="gramEnd"/>
      <w:r>
        <w:t xml:space="preserve"> accessing, using or relying on any of the information or data in this publication to the maximum extent permitted by law.</w:t>
      </w:r>
    </w:p>
    <w:p w14:paraId="27B2399B" w14:textId="77777777" w:rsidR="00B02B9B" w:rsidRDefault="00BD538D" w:rsidP="00B02B9B">
      <w:pPr>
        <w:pStyle w:val="Normalsmall"/>
      </w:pPr>
      <w:r>
        <w:rPr>
          <w:rStyle w:val="Strong"/>
        </w:rPr>
        <w:t>Acknowledgement of Country</w:t>
      </w:r>
    </w:p>
    <w:p w14:paraId="7B58BB48" w14:textId="184BA067" w:rsidR="00B02B9B" w:rsidRDefault="002F6A3D">
      <w:pPr>
        <w:pStyle w:val="Normalsmall"/>
      </w:pPr>
      <w:r w:rsidRPr="002F6A3D">
        <w:t xml:space="preserve">Our department recognises the First Peoples of this nation and their ongoing connection to culture and country. We acknowledge First Nations Peoples as the Traditional Owners, Custodians and Lore Keepers of the world's oldest living culture and pay respects to their Elders past, </w:t>
      </w:r>
      <w:proofErr w:type="gramStart"/>
      <w:r w:rsidRPr="002F6A3D">
        <w:t>present</w:t>
      </w:r>
      <w:proofErr w:type="gramEnd"/>
      <w:r w:rsidRPr="002F6A3D">
        <w:t xml:space="preserve"> and emerging</w:t>
      </w:r>
      <w:r w:rsidR="00BD538D" w:rsidRPr="00D07F7D">
        <w:t>.</w:t>
      </w:r>
    </w:p>
    <w:bookmarkEnd w:id="2"/>
    <w:p w14:paraId="1615C068" w14:textId="77777777" w:rsidR="00764D6A" w:rsidRDefault="00BD538D">
      <w:pPr>
        <w:spacing w:after="0" w:line="240" w:lineRule="auto"/>
      </w:pPr>
      <w:r>
        <w:br w:type="page"/>
      </w:r>
    </w:p>
    <w:sdt>
      <w:sdtPr>
        <w:rPr>
          <w:rFonts w:ascii="Cambria" w:eastAsiaTheme="minorHAnsi" w:hAnsi="Cambria"/>
          <w:bCs w:val="0"/>
          <w:color w:val="auto"/>
          <w:sz w:val="22"/>
          <w:szCs w:val="22"/>
          <w:lang w:eastAsia="en-US"/>
        </w:rPr>
        <w:id w:val="-760297017"/>
        <w:docPartObj>
          <w:docPartGallery w:val="Table of Contents"/>
          <w:docPartUnique/>
        </w:docPartObj>
      </w:sdtPr>
      <w:sdtEndPr>
        <w:rPr>
          <w:b/>
          <w:noProof/>
        </w:rPr>
      </w:sdtEndPr>
      <w:sdtContent>
        <w:p w14:paraId="5B830403" w14:textId="77777777" w:rsidR="00764D6A" w:rsidRDefault="00BD538D">
          <w:pPr>
            <w:pStyle w:val="TOCHeading"/>
          </w:pPr>
          <w:r>
            <w:t>Contents</w:t>
          </w:r>
        </w:p>
        <w:p w14:paraId="621D6FED" w14:textId="52B35D60" w:rsidR="00743B85" w:rsidRDefault="00BD538D">
          <w:pPr>
            <w:pStyle w:val="TOC1"/>
            <w:rPr>
              <w:rFonts w:asciiTheme="minorHAnsi" w:eastAsiaTheme="minorEastAsia" w:hAnsiTheme="minorHAnsi"/>
              <w:b w:val="0"/>
              <w:lang w:eastAsia="en-AU"/>
            </w:rPr>
          </w:pPr>
          <w:r>
            <w:rPr>
              <w:b w:val="0"/>
            </w:rPr>
            <w:fldChar w:fldCharType="begin"/>
          </w:r>
          <w:r>
            <w:rPr>
              <w:b w:val="0"/>
            </w:rPr>
            <w:instrText xml:space="preserve"> TOC \h \z \u \t "Heading 2,1,Heading 3,2,Style1,2,TOA Heading,1" </w:instrText>
          </w:r>
          <w:r>
            <w:rPr>
              <w:b w:val="0"/>
            </w:rPr>
            <w:fldChar w:fldCharType="separate"/>
          </w:r>
          <w:hyperlink w:anchor="_Toc117609171" w:history="1">
            <w:r w:rsidR="00743B85" w:rsidRPr="00BA376A">
              <w:rPr>
                <w:rStyle w:val="Hyperlink"/>
              </w:rPr>
              <w:t>1</w:t>
            </w:r>
            <w:r w:rsidR="00743B85">
              <w:rPr>
                <w:rFonts w:asciiTheme="minorHAnsi" w:eastAsiaTheme="minorEastAsia" w:hAnsiTheme="minorHAnsi"/>
                <w:b w:val="0"/>
                <w:lang w:eastAsia="en-AU"/>
              </w:rPr>
              <w:tab/>
            </w:r>
            <w:r w:rsidR="00743B85" w:rsidRPr="00BA376A">
              <w:rPr>
                <w:rStyle w:val="Hyperlink"/>
              </w:rPr>
              <w:t>Purpose of this policy</w:t>
            </w:r>
            <w:r w:rsidR="00743B85">
              <w:rPr>
                <w:webHidden/>
              </w:rPr>
              <w:tab/>
            </w:r>
            <w:r w:rsidR="00743B85">
              <w:rPr>
                <w:webHidden/>
              </w:rPr>
              <w:fldChar w:fldCharType="begin"/>
            </w:r>
            <w:r w:rsidR="00743B85">
              <w:rPr>
                <w:webHidden/>
              </w:rPr>
              <w:instrText xml:space="preserve"> PAGEREF _Toc117609171 \h </w:instrText>
            </w:r>
            <w:r w:rsidR="00743B85">
              <w:rPr>
                <w:webHidden/>
              </w:rPr>
            </w:r>
            <w:r w:rsidR="00743B85">
              <w:rPr>
                <w:webHidden/>
              </w:rPr>
              <w:fldChar w:fldCharType="separate"/>
            </w:r>
            <w:r w:rsidR="001A4DCC">
              <w:rPr>
                <w:webHidden/>
              </w:rPr>
              <w:t>1</w:t>
            </w:r>
            <w:r w:rsidR="00743B85">
              <w:rPr>
                <w:webHidden/>
              </w:rPr>
              <w:fldChar w:fldCharType="end"/>
            </w:r>
          </w:hyperlink>
        </w:p>
        <w:p w14:paraId="1E5BC89E" w14:textId="46546BE0" w:rsidR="00743B85" w:rsidRDefault="00211DC8">
          <w:pPr>
            <w:pStyle w:val="TOC1"/>
            <w:rPr>
              <w:rFonts w:asciiTheme="minorHAnsi" w:eastAsiaTheme="minorEastAsia" w:hAnsiTheme="minorHAnsi"/>
              <w:b w:val="0"/>
              <w:lang w:eastAsia="en-AU"/>
            </w:rPr>
          </w:pPr>
          <w:hyperlink w:anchor="_Toc117609172" w:history="1">
            <w:r w:rsidR="00743B85" w:rsidRPr="00BA376A">
              <w:rPr>
                <w:rStyle w:val="Hyperlink"/>
              </w:rPr>
              <w:t>2</w:t>
            </w:r>
            <w:r w:rsidR="00743B85">
              <w:rPr>
                <w:rFonts w:asciiTheme="minorHAnsi" w:eastAsiaTheme="minorEastAsia" w:hAnsiTheme="minorHAnsi"/>
                <w:b w:val="0"/>
                <w:lang w:eastAsia="en-AU"/>
              </w:rPr>
              <w:tab/>
            </w:r>
            <w:r w:rsidR="00743B85" w:rsidRPr="00BA376A">
              <w:rPr>
                <w:rStyle w:val="Hyperlink"/>
              </w:rPr>
              <w:t>Introduction</w:t>
            </w:r>
            <w:r w:rsidR="00743B85">
              <w:rPr>
                <w:webHidden/>
              </w:rPr>
              <w:tab/>
            </w:r>
            <w:r w:rsidR="00743B85">
              <w:rPr>
                <w:webHidden/>
              </w:rPr>
              <w:fldChar w:fldCharType="begin"/>
            </w:r>
            <w:r w:rsidR="00743B85">
              <w:rPr>
                <w:webHidden/>
              </w:rPr>
              <w:instrText xml:space="preserve"> PAGEREF _Toc117609172 \h </w:instrText>
            </w:r>
            <w:r w:rsidR="00743B85">
              <w:rPr>
                <w:webHidden/>
              </w:rPr>
            </w:r>
            <w:r w:rsidR="00743B85">
              <w:rPr>
                <w:webHidden/>
              </w:rPr>
              <w:fldChar w:fldCharType="separate"/>
            </w:r>
            <w:r w:rsidR="001A4DCC">
              <w:rPr>
                <w:webHidden/>
              </w:rPr>
              <w:t>1</w:t>
            </w:r>
            <w:r w:rsidR="00743B85">
              <w:rPr>
                <w:webHidden/>
              </w:rPr>
              <w:fldChar w:fldCharType="end"/>
            </w:r>
          </w:hyperlink>
        </w:p>
        <w:p w14:paraId="422C0FFE" w14:textId="3CB98D12" w:rsidR="00743B85" w:rsidRDefault="00211DC8">
          <w:pPr>
            <w:pStyle w:val="TOC2"/>
            <w:tabs>
              <w:tab w:val="left" w:pos="1100"/>
            </w:tabs>
            <w:rPr>
              <w:rFonts w:asciiTheme="minorHAnsi" w:eastAsiaTheme="minorEastAsia" w:hAnsiTheme="minorHAnsi"/>
              <w:lang w:eastAsia="en-AU"/>
            </w:rPr>
          </w:pPr>
          <w:hyperlink w:anchor="_Toc117609173" w:history="1">
            <w:r w:rsidR="00743B85" w:rsidRPr="00BA376A">
              <w:rPr>
                <w:rStyle w:val="Hyperlink"/>
              </w:rPr>
              <w:t>2.1</w:t>
            </w:r>
            <w:r w:rsidR="00743B85">
              <w:rPr>
                <w:rFonts w:asciiTheme="minorHAnsi" w:eastAsiaTheme="minorEastAsia" w:hAnsiTheme="minorHAnsi"/>
                <w:lang w:eastAsia="en-AU"/>
              </w:rPr>
              <w:tab/>
            </w:r>
            <w:r w:rsidR="00743B85" w:rsidRPr="00BA376A">
              <w:rPr>
                <w:rStyle w:val="Hyperlink"/>
              </w:rPr>
              <w:t>WELS scheme Purpose</w:t>
            </w:r>
            <w:r w:rsidR="00743B85">
              <w:rPr>
                <w:webHidden/>
              </w:rPr>
              <w:tab/>
            </w:r>
            <w:r w:rsidR="00743B85">
              <w:rPr>
                <w:webHidden/>
              </w:rPr>
              <w:fldChar w:fldCharType="begin"/>
            </w:r>
            <w:r w:rsidR="00743B85">
              <w:rPr>
                <w:webHidden/>
              </w:rPr>
              <w:instrText xml:space="preserve"> PAGEREF _Toc117609173 \h </w:instrText>
            </w:r>
            <w:r w:rsidR="00743B85">
              <w:rPr>
                <w:webHidden/>
              </w:rPr>
            </w:r>
            <w:r w:rsidR="00743B85">
              <w:rPr>
                <w:webHidden/>
              </w:rPr>
              <w:fldChar w:fldCharType="separate"/>
            </w:r>
            <w:r w:rsidR="001A4DCC">
              <w:rPr>
                <w:webHidden/>
              </w:rPr>
              <w:t>1</w:t>
            </w:r>
            <w:r w:rsidR="00743B85">
              <w:rPr>
                <w:webHidden/>
              </w:rPr>
              <w:fldChar w:fldCharType="end"/>
            </w:r>
          </w:hyperlink>
        </w:p>
        <w:p w14:paraId="2F6E5EC3" w14:textId="1AF33BB1" w:rsidR="00743B85" w:rsidRDefault="00211DC8">
          <w:pPr>
            <w:pStyle w:val="TOC2"/>
            <w:tabs>
              <w:tab w:val="left" w:pos="1100"/>
            </w:tabs>
            <w:rPr>
              <w:rFonts w:asciiTheme="minorHAnsi" w:eastAsiaTheme="minorEastAsia" w:hAnsiTheme="minorHAnsi"/>
              <w:lang w:eastAsia="en-AU"/>
            </w:rPr>
          </w:pPr>
          <w:hyperlink w:anchor="_Toc117609174" w:history="1">
            <w:r w:rsidR="00743B85" w:rsidRPr="00BA376A">
              <w:rPr>
                <w:rStyle w:val="Hyperlink"/>
              </w:rPr>
              <w:t>2.2</w:t>
            </w:r>
            <w:r w:rsidR="00743B85">
              <w:rPr>
                <w:rFonts w:asciiTheme="minorHAnsi" w:eastAsiaTheme="minorEastAsia" w:hAnsiTheme="minorHAnsi"/>
                <w:lang w:eastAsia="en-AU"/>
              </w:rPr>
              <w:tab/>
            </w:r>
            <w:r w:rsidR="00743B85" w:rsidRPr="00BA376A">
              <w:rPr>
                <w:rStyle w:val="Hyperlink"/>
              </w:rPr>
              <w:t>Products we regulate</w:t>
            </w:r>
            <w:r w:rsidR="00743B85">
              <w:rPr>
                <w:webHidden/>
              </w:rPr>
              <w:tab/>
            </w:r>
            <w:r w:rsidR="00743B85">
              <w:rPr>
                <w:webHidden/>
              </w:rPr>
              <w:fldChar w:fldCharType="begin"/>
            </w:r>
            <w:r w:rsidR="00743B85">
              <w:rPr>
                <w:webHidden/>
              </w:rPr>
              <w:instrText xml:space="preserve"> PAGEREF _Toc117609174 \h </w:instrText>
            </w:r>
            <w:r w:rsidR="00743B85">
              <w:rPr>
                <w:webHidden/>
              </w:rPr>
            </w:r>
            <w:r w:rsidR="00743B85">
              <w:rPr>
                <w:webHidden/>
              </w:rPr>
              <w:fldChar w:fldCharType="separate"/>
            </w:r>
            <w:r w:rsidR="001A4DCC">
              <w:rPr>
                <w:webHidden/>
              </w:rPr>
              <w:t>1</w:t>
            </w:r>
            <w:r w:rsidR="00743B85">
              <w:rPr>
                <w:webHidden/>
              </w:rPr>
              <w:fldChar w:fldCharType="end"/>
            </w:r>
          </w:hyperlink>
        </w:p>
        <w:p w14:paraId="3836305D" w14:textId="0BF2A5C3" w:rsidR="00743B85" w:rsidRDefault="00211DC8">
          <w:pPr>
            <w:pStyle w:val="TOC1"/>
            <w:rPr>
              <w:rFonts w:asciiTheme="minorHAnsi" w:eastAsiaTheme="minorEastAsia" w:hAnsiTheme="minorHAnsi"/>
              <w:b w:val="0"/>
              <w:lang w:eastAsia="en-AU"/>
            </w:rPr>
          </w:pPr>
          <w:hyperlink w:anchor="_Toc117609175" w:history="1">
            <w:r w:rsidR="00743B85" w:rsidRPr="00BA376A">
              <w:rPr>
                <w:rStyle w:val="Hyperlink"/>
              </w:rPr>
              <w:t>3</w:t>
            </w:r>
            <w:r w:rsidR="00743B85">
              <w:rPr>
                <w:rFonts w:asciiTheme="minorHAnsi" w:eastAsiaTheme="minorEastAsia" w:hAnsiTheme="minorHAnsi"/>
                <w:b w:val="0"/>
                <w:lang w:eastAsia="en-AU"/>
              </w:rPr>
              <w:tab/>
            </w:r>
            <w:r w:rsidR="00743B85" w:rsidRPr="00BA376A">
              <w:rPr>
                <w:rStyle w:val="Hyperlink"/>
              </w:rPr>
              <w:t>Regulatory context</w:t>
            </w:r>
            <w:r w:rsidR="00743B85">
              <w:rPr>
                <w:webHidden/>
              </w:rPr>
              <w:tab/>
            </w:r>
            <w:r w:rsidR="00743B85">
              <w:rPr>
                <w:webHidden/>
              </w:rPr>
              <w:fldChar w:fldCharType="begin"/>
            </w:r>
            <w:r w:rsidR="00743B85">
              <w:rPr>
                <w:webHidden/>
              </w:rPr>
              <w:instrText xml:space="preserve"> PAGEREF _Toc117609175 \h </w:instrText>
            </w:r>
            <w:r w:rsidR="00743B85">
              <w:rPr>
                <w:webHidden/>
              </w:rPr>
            </w:r>
            <w:r w:rsidR="00743B85">
              <w:rPr>
                <w:webHidden/>
              </w:rPr>
              <w:fldChar w:fldCharType="separate"/>
            </w:r>
            <w:r w:rsidR="001A4DCC">
              <w:rPr>
                <w:webHidden/>
              </w:rPr>
              <w:t>2</w:t>
            </w:r>
            <w:r w:rsidR="00743B85">
              <w:rPr>
                <w:webHidden/>
              </w:rPr>
              <w:fldChar w:fldCharType="end"/>
            </w:r>
          </w:hyperlink>
        </w:p>
        <w:p w14:paraId="11EA2B3E" w14:textId="51B91799" w:rsidR="00743B85" w:rsidRDefault="00211DC8">
          <w:pPr>
            <w:pStyle w:val="TOC2"/>
            <w:tabs>
              <w:tab w:val="left" w:pos="1100"/>
            </w:tabs>
            <w:rPr>
              <w:rFonts w:asciiTheme="minorHAnsi" w:eastAsiaTheme="minorEastAsia" w:hAnsiTheme="minorHAnsi"/>
              <w:lang w:eastAsia="en-AU"/>
            </w:rPr>
          </w:pPr>
          <w:hyperlink w:anchor="_Toc117609176" w:history="1">
            <w:r w:rsidR="00743B85" w:rsidRPr="00BA376A">
              <w:rPr>
                <w:rStyle w:val="Hyperlink"/>
              </w:rPr>
              <w:t>3.1</w:t>
            </w:r>
            <w:r w:rsidR="00743B85">
              <w:rPr>
                <w:rFonts w:asciiTheme="minorHAnsi" w:eastAsiaTheme="minorEastAsia" w:hAnsiTheme="minorHAnsi"/>
                <w:lang w:eastAsia="en-AU"/>
              </w:rPr>
              <w:tab/>
            </w:r>
            <w:r w:rsidR="00743B85" w:rsidRPr="00BA376A">
              <w:rPr>
                <w:rStyle w:val="Hyperlink"/>
              </w:rPr>
              <w:t>Legislation</w:t>
            </w:r>
            <w:r w:rsidR="00743B85">
              <w:rPr>
                <w:webHidden/>
              </w:rPr>
              <w:tab/>
            </w:r>
            <w:r w:rsidR="00743B85">
              <w:rPr>
                <w:webHidden/>
              </w:rPr>
              <w:fldChar w:fldCharType="begin"/>
            </w:r>
            <w:r w:rsidR="00743B85">
              <w:rPr>
                <w:webHidden/>
              </w:rPr>
              <w:instrText xml:space="preserve"> PAGEREF _Toc117609176 \h </w:instrText>
            </w:r>
            <w:r w:rsidR="00743B85">
              <w:rPr>
                <w:webHidden/>
              </w:rPr>
            </w:r>
            <w:r w:rsidR="00743B85">
              <w:rPr>
                <w:webHidden/>
              </w:rPr>
              <w:fldChar w:fldCharType="separate"/>
            </w:r>
            <w:r w:rsidR="001A4DCC">
              <w:rPr>
                <w:webHidden/>
              </w:rPr>
              <w:t>2</w:t>
            </w:r>
            <w:r w:rsidR="00743B85">
              <w:rPr>
                <w:webHidden/>
              </w:rPr>
              <w:fldChar w:fldCharType="end"/>
            </w:r>
          </w:hyperlink>
        </w:p>
        <w:p w14:paraId="5F8999A0" w14:textId="3E452E4E" w:rsidR="00743B85" w:rsidRDefault="00211DC8">
          <w:pPr>
            <w:pStyle w:val="TOC2"/>
            <w:tabs>
              <w:tab w:val="left" w:pos="1100"/>
            </w:tabs>
            <w:rPr>
              <w:rFonts w:asciiTheme="minorHAnsi" w:eastAsiaTheme="minorEastAsia" w:hAnsiTheme="minorHAnsi"/>
              <w:lang w:eastAsia="en-AU"/>
            </w:rPr>
          </w:pPr>
          <w:hyperlink w:anchor="_Toc117609177" w:history="1">
            <w:r w:rsidR="00743B85" w:rsidRPr="00BA376A">
              <w:rPr>
                <w:rStyle w:val="Hyperlink"/>
              </w:rPr>
              <w:t>3.2</w:t>
            </w:r>
            <w:r w:rsidR="00743B85">
              <w:rPr>
                <w:rFonts w:asciiTheme="minorHAnsi" w:eastAsiaTheme="minorEastAsia" w:hAnsiTheme="minorHAnsi"/>
                <w:lang w:eastAsia="en-AU"/>
              </w:rPr>
              <w:tab/>
            </w:r>
            <w:r w:rsidR="00743B85" w:rsidRPr="00BA376A">
              <w:rPr>
                <w:rStyle w:val="Hyperlink"/>
              </w:rPr>
              <w:t>Australian Standards</w:t>
            </w:r>
            <w:r w:rsidR="00743B85">
              <w:rPr>
                <w:webHidden/>
              </w:rPr>
              <w:tab/>
            </w:r>
            <w:r w:rsidR="00743B85">
              <w:rPr>
                <w:webHidden/>
              </w:rPr>
              <w:fldChar w:fldCharType="begin"/>
            </w:r>
            <w:r w:rsidR="00743B85">
              <w:rPr>
                <w:webHidden/>
              </w:rPr>
              <w:instrText xml:space="preserve"> PAGEREF _Toc117609177 \h </w:instrText>
            </w:r>
            <w:r w:rsidR="00743B85">
              <w:rPr>
                <w:webHidden/>
              </w:rPr>
            </w:r>
            <w:r w:rsidR="00743B85">
              <w:rPr>
                <w:webHidden/>
              </w:rPr>
              <w:fldChar w:fldCharType="separate"/>
            </w:r>
            <w:r w:rsidR="001A4DCC">
              <w:rPr>
                <w:webHidden/>
              </w:rPr>
              <w:t>2</w:t>
            </w:r>
            <w:r w:rsidR="00743B85">
              <w:rPr>
                <w:webHidden/>
              </w:rPr>
              <w:fldChar w:fldCharType="end"/>
            </w:r>
          </w:hyperlink>
        </w:p>
        <w:p w14:paraId="3CD7807E" w14:textId="6156494B" w:rsidR="00743B85" w:rsidRDefault="00211DC8">
          <w:pPr>
            <w:pStyle w:val="TOC2"/>
            <w:tabs>
              <w:tab w:val="left" w:pos="1100"/>
            </w:tabs>
            <w:rPr>
              <w:rFonts w:asciiTheme="minorHAnsi" w:eastAsiaTheme="minorEastAsia" w:hAnsiTheme="minorHAnsi"/>
              <w:lang w:eastAsia="en-AU"/>
            </w:rPr>
          </w:pPr>
          <w:hyperlink w:anchor="_Toc117609178" w:history="1">
            <w:r w:rsidR="00743B85" w:rsidRPr="00BA376A">
              <w:rPr>
                <w:rStyle w:val="Hyperlink"/>
              </w:rPr>
              <w:t>3.3</w:t>
            </w:r>
            <w:r w:rsidR="00743B85">
              <w:rPr>
                <w:rFonts w:asciiTheme="minorHAnsi" w:eastAsiaTheme="minorEastAsia" w:hAnsiTheme="minorHAnsi"/>
                <w:lang w:eastAsia="en-AU"/>
              </w:rPr>
              <w:tab/>
            </w:r>
            <w:r w:rsidR="00743B85" w:rsidRPr="00BA376A">
              <w:rPr>
                <w:rStyle w:val="Hyperlink"/>
              </w:rPr>
              <w:t>International Standard</w:t>
            </w:r>
            <w:r w:rsidR="00743B85">
              <w:rPr>
                <w:webHidden/>
              </w:rPr>
              <w:tab/>
            </w:r>
            <w:r w:rsidR="00743B85">
              <w:rPr>
                <w:webHidden/>
              </w:rPr>
              <w:fldChar w:fldCharType="begin"/>
            </w:r>
            <w:r w:rsidR="00743B85">
              <w:rPr>
                <w:webHidden/>
              </w:rPr>
              <w:instrText xml:space="preserve"> PAGEREF _Toc117609178 \h </w:instrText>
            </w:r>
            <w:r w:rsidR="00743B85">
              <w:rPr>
                <w:webHidden/>
              </w:rPr>
            </w:r>
            <w:r w:rsidR="00743B85">
              <w:rPr>
                <w:webHidden/>
              </w:rPr>
              <w:fldChar w:fldCharType="separate"/>
            </w:r>
            <w:r w:rsidR="001A4DCC">
              <w:rPr>
                <w:webHidden/>
              </w:rPr>
              <w:t>3</w:t>
            </w:r>
            <w:r w:rsidR="00743B85">
              <w:rPr>
                <w:webHidden/>
              </w:rPr>
              <w:fldChar w:fldCharType="end"/>
            </w:r>
          </w:hyperlink>
        </w:p>
        <w:p w14:paraId="326934CC" w14:textId="2034AEC4" w:rsidR="00743B85" w:rsidRDefault="00211DC8">
          <w:pPr>
            <w:pStyle w:val="TOC2"/>
            <w:tabs>
              <w:tab w:val="left" w:pos="1100"/>
            </w:tabs>
            <w:rPr>
              <w:rFonts w:asciiTheme="minorHAnsi" w:eastAsiaTheme="minorEastAsia" w:hAnsiTheme="minorHAnsi"/>
              <w:lang w:eastAsia="en-AU"/>
            </w:rPr>
          </w:pPr>
          <w:hyperlink w:anchor="_Toc117609179" w:history="1">
            <w:r w:rsidR="00743B85" w:rsidRPr="00BA376A">
              <w:rPr>
                <w:rStyle w:val="Hyperlink"/>
              </w:rPr>
              <w:t>3.4</w:t>
            </w:r>
            <w:r w:rsidR="00743B85">
              <w:rPr>
                <w:rFonts w:asciiTheme="minorHAnsi" w:eastAsiaTheme="minorEastAsia" w:hAnsiTheme="minorHAnsi"/>
                <w:lang w:eastAsia="en-AU"/>
              </w:rPr>
              <w:tab/>
            </w:r>
            <w:r w:rsidR="00743B85" w:rsidRPr="00BA376A">
              <w:rPr>
                <w:rStyle w:val="Hyperlink"/>
              </w:rPr>
              <w:t>Related programs</w:t>
            </w:r>
            <w:r w:rsidR="00743B85">
              <w:rPr>
                <w:webHidden/>
              </w:rPr>
              <w:tab/>
            </w:r>
            <w:r w:rsidR="00743B85">
              <w:rPr>
                <w:webHidden/>
              </w:rPr>
              <w:fldChar w:fldCharType="begin"/>
            </w:r>
            <w:r w:rsidR="00743B85">
              <w:rPr>
                <w:webHidden/>
              </w:rPr>
              <w:instrText xml:space="preserve"> PAGEREF _Toc117609179 \h </w:instrText>
            </w:r>
            <w:r w:rsidR="00743B85">
              <w:rPr>
                <w:webHidden/>
              </w:rPr>
            </w:r>
            <w:r w:rsidR="00743B85">
              <w:rPr>
                <w:webHidden/>
              </w:rPr>
              <w:fldChar w:fldCharType="separate"/>
            </w:r>
            <w:r w:rsidR="001A4DCC">
              <w:rPr>
                <w:webHidden/>
              </w:rPr>
              <w:t>3</w:t>
            </w:r>
            <w:r w:rsidR="00743B85">
              <w:rPr>
                <w:webHidden/>
              </w:rPr>
              <w:fldChar w:fldCharType="end"/>
            </w:r>
          </w:hyperlink>
        </w:p>
        <w:p w14:paraId="091B337B" w14:textId="3BA2A235" w:rsidR="00743B85" w:rsidRDefault="00211DC8">
          <w:pPr>
            <w:pStyle w:val="TOC1"/>
            <w:rPr>
              <w:rFonts w:asciiTheme="minorHAnsi" w:eastAsiaTheme="minorEastAsia" w:hAnsiTheme="minorHAnsi"/>
              <w:b w:val="0"/>
              <w:lang w:eastAsia="en-AU"/>
            </w:rPr>
          </w:pPr>
          <w:hyperlink w:anchor="_Toc117609180" w:history="1">
            <w:r w:rsidR="00743B85" w:rsidRPr="00BA376A">
              <w:rPr>
                <w:rStyle w:val="Hyperlink"/>
              </w:rPr>
              <w:t>4</w:t>
            </w:r>
            <w:r w:rsidR="00743B85">
              <w:rPr>
                <w:rFonts w:asciiTheme="minorHAnsi" w:eastAsiaTheme="minorEastAsia" w:hAnsiTheme="minorHAnsi"/>
                <w:b w:val="0"/>
                <w:lang w:eastAsia="en-AU"/>
              </w:rPr>
              <w:tab/>
            </w:r>
            <w:r w:rsidR="00743B85" w:rsidRPr="00BA376A">
              <w:rPr>
                <w:rStyle w:val="Hyperlink"/>
              </w:rPr>
              <w:t>Compliance and enforcement objectives and principles</w:t>
            </w:r>
            <w:r w:rsidR="00743B85">
              <w:rPr>
                <w:webHidden/>
              </w:rPr>
              <w:tab/>
            </w:r>
            <w:r w:rsidR="00743B85">
              <w:rPr>
                <w:webHidden/>
              </w:rPr>
              <w:fldChar w:fldCharType="begin"/>
            </w:r>
            <w:r w:rsidR="00743B85">
              <w:rPr>
                <w:webHidden/>
              </w:rPr>
              <w:instrText xml:space="preserve"> PAGEREF _Toc117609180 \h </w:instrText>
            </w:r>
            <w:r w:rsidR="00743B85">
              <w:rPr>
                <w:webHidden/>
              </w:rPr>
            </w:r>
            <w:r w:rsidR="00743B85">
              <w:rPr>
                <w:webHidden/>
              </w:rPr>
              <w:fldChar w:fldCharType="separate"/>
            </w:r>
            <w:r w:rsidR="001A4DCC">
              <w:rPr>
                <w:webHidden/>
              </w:rPr>
              <w:t>3</w:t>
            </w:r>
            <w:r w:rsidR="00743B85">
              <w:rPr>
                <w:webHidden/>
              </w:rPr>
              <w:fldChar w:fldCharType="end"/>
            </w:r>
          </w:hyperlink>
        </w:p>
        <w:p w14:paraId="7392A017" w14:textId="4764F9E9" w:rsidR="00743B85" w:rsidRDefault="00211DC8">
          <w:pPr>
            <w:pStyle w:val="TOC2"/>
            <w:tabs>
              <w:tab w:val="left" w:pos="1100"/>
            </w:tabs>
            <w:rPr>
              <w:rFonts w:asciiTheme="minorHAnsi" w:eastAsiaTheme="minorEastAsia" w:hAnsiTheme="minorHAnsi"/>
              <w:lang w:eastAsia="en-AU"/>
            </w:rPr>
          </w:pPr>
          <w:hyperlink w:anchor="_Toc117609181" w:history="1">
            <w:r w:rsidR="00743B85" w:rsidRPr="00BA376A">
              <w:rPr>
                <w:rStyle w:val="Hyperlink"/>
              </w:rPr>
              <w:t>4.1</w:t>
            </w:r>
            <w:r w:rsidR="00743B85">
              <w:rPr>
                <w:rFonts w:asciiTheme="minorHAnsi" w:eastAsiaTheme="minorEastAsia" w:hAnsiTheme="minorHAnsi"/>
                <w:lang w:eastAsia="en-AU"/>
              </w:rPr>
              <w:tab/>
            </w:r>
            <w:r w:rsidR="00743B85" w:rsidRPr="00BA376A">
              <w:rPr>
                <w:rStyle w:val="Hyperlink"/>
              </w:rPr>
              <w:t>Objectives</w:t>
            </w:r>
            <w:r w:rsidR="00743B85">
              <w:rPr>
                <w:webHidden/>
              </w:rPr>
              <w:tab/>
            </w:r>
            <w:r w:rsidR="00743B85">
              <w:rPr>
                <w:webHidden/>
              </w:rPr>
              <w:fldChar w:fldCharType="begin"/>
            </w:r>
            <w:r w:rsidR="00743B85">
              <w:rPr>
                <w:webHidden/>
              </w:rPr>
              <w:instrText xml:space="preserve"> PAGEREF _Toc117609181 \h </w:instrText>
            </w:r>
            <w:r w:rsidR="00743B85">
              <w:rPr>
                <w:webHidden/>
              </w:rPr>
            </w:r>
            <w:r w:rsidR="00743B85">
              <w:rPr>
                <w:webHidden/>
              </w:rPr>
              <w:fldChar w:fldCharType="separate"/>
            </w:r>
            <w:r w:rsidR="001A4DCC">
              <w:rPr>
                <w:webHidden/>
              </w:rPr>
              <w:t>4</w:t>
            </w:r>
            <w:r w:rsidR="00743B85">
              <w:rPr>
                <w:webHidden/>
              </w:rPr>
              <w:fldChar w:fldCharType="end"/>
            </w:r>
          </w:hyperlink>
        </w:p>
        <w:p w14:paraId="5B148B37" w14:textId="75A24537" w:rsidR="00743B85" w:rsidRDefault="00211DC8">
          <w:pPr>
            <w:pStyle w:val="TOC2"/>
            <w:tabs>
              <w:tab w:val="left" w:pos="1100"/>
            </w:tabs>
            <w:rPr>
              <w:rFonts w:asciiTheme="minorHAnsi" w:eastAsiaTheme="minorEastAsia" w:hAnsiTheme="minorHAnsi"/>
              <w:lang w:eastAsia="en-AU"/>
            </w:rPr>
          </w:pPr>
          <w:hyperlink w:anchor="_Toc117609182" w:history="1">
            <w:r w:rsidR="00743B85" w:rsidRPr="00BA376A">
              <w:rPr>
                <w:rStyle w:val="Hyperlink"/>
              </w:rPr>
              <w:t>4.2</w:t>
            </w:r>
            <w:r w:rsidR="00743B85">
              <w:rPr>
                <w:rFonts w:asciiTheme="minorHAnsi" w:eastAsiaTheme="minorEastAsia" w:hAnsiTheme="minorHAnsi"/>
                <w:lang w:eastAsia="en-AU"/>
              </w:rPr>
              <w:tab/>
            </w:r>
            <w:r w:rsidR="00743B85" w:rsidRPr="00BA376A">
              <w:rPr>
                <w:rStyle w:val="Hyperlink"/>
              </w:rPr>
              <w:t>Principles</w:t>
            </w:r>
            <w:r w:rsidR="00743B85">
              <w:rPr>
                <w:webHidden/>
              </w:rPr>
              <w:tab/>
            </w:r>
            <w:r w:rsidR="00743B85">
              <w:rPr>
                <w:webHidden/>
              </w:rPr>
              <w:fldChar w:fldCharType="begin"/>
            </w:r>
            <w:r w:rsidR="00743B85">
              <w:rPr>
                <w:webHidden/>
              </w:rPr>
              <w:instrText xml:space="preserve"> PAGEREF _Toc117609182 \h </w:instrText>
            </w:r>
            <w:r w:rsidR="00743B85">
              <w:rPr>
                <w:webHidden/>
              </w:rPr>
            </w:r>
            <w:r w:rsidR="00743B85">
              <w:rPr>
                <w:webHidden/>
              </w:rPr>
              <w:fldChar w:fldCharType="separate"/>
            </w:r>
            <w:r w:rsidR="001A4DCC">
              <w:rPr>
                <w:webHidden/>
              </w:rPr>
              <w:t>4</w:t>
            </w:r>
            <w:r w:rsidR="00743B85">
              <w:rPr>
                <w:webHidden/>
              </w:rPr>
              <w:fldChar w:fldCharType="end"/>
            </w:r>
          </w:hyperlink>
        </w:p>
        <w:p w14:paraId="3E2D965F" w14:textId="394DBE61" w:rsidR="00743B85" w:rsidRDefault="00211DC8">
          <w:pPr>
            <w:pStyle w:val="TOC1"/>
            <w:rPr>
              <w:rFonts w:asciiTheme="minorHAnsi" w:eastAsiaTheme="minorEastAsia" w:hAnsiTheme="minorHAnsi"/>
              <w:b w:val="0"/>
              <w:lang w:eastAsia="en-AU"/>
            </w:rPr>
          </w:pPr>
          <w:hyperlink w:anchor="_Toc117609183" w:history="1">
            <w:r w:rsidR="00743B85" w:rsidRPr="00BA376A">
              <w:rPr>
                <w:rStyle w:val="Hyperlink"/>
              </w:rPr>
              <w:t>5</w:t>
            </w:r>
            <w:r w:rsidR="00743B85">
              <w:rPr>
                <w:rFonts w:asciiTheme="minorHAnsi" w:eastAsiaTheme="minorEastAsia" w:hAnsiTheme="minorHAnsi"/>
                <w:b w:val="0"/>
                <w:lang w:eastAsia="en-AU"/>
              </w:rPr>
              <w:tab/>
            </w:r>
            <w:r w:rsidR="00743B85" w:rsidRPr="00BA376A">
              <w:rPr>
                <w:rStyle w:val="Hyperlink"/>
              </w:rPr>
              <w:t>Our approach to regulation</w:t>
            </w:r>
            <w:r w:rsidR="00743B85">
              <w:rPr>
                <w:webHidden/>
              </w:rPr>
              <w:tab/>
            </w:r>
            <w:r w:rsidR="00743B85">
              <w:rPr>
                <w:webHidden/>
              </w:rPr>
              <w:fldChar w:fldCharType="begin"/>
            </w:r>
            <w:r w:rsidR="00743B85">
              <w:rPr>
                <w:webHidden/>
              </w:rPr>
              <w:instrText xml:space="preserve"> PAGEREF _Toc117609183 \h </w:instrText>
            </w:r>
            <w:r w:rsidR="00743B85">
              <w:rPr>
                <w:webHidden/>
              </w:rPr>
            </w:r>
            <w:r w:rsidR="00743B85">
              <w:rPr>
                <w:webHidden/>
              </w:rPr>
              <w:fldChar w:fldCharType="separate"/>
            </w:r>
            <w:r w:rsidR="001A4DCC">
              <w:rPr>
                <w:webHidden/>
              </w:rPr>
              <w:t>5</w:t>
            </w:r>
            <w:r w:rsidR="00743B85">
              <w:rPr>
                <w:webHidden/>
              </w:rPr>
              <w:fldChar w:fldCharType="end"/>
            </w:r>
          </w:hyperlink>
        </w:p>
        <w:p w14:paraId="75EE88BC" w14:textId="291F0049" w:rsidR="00743B85" w:rsidRDefault="00211DC8">
          <w:pPr>
            <w:pStyle w:val="TOC2"/>
            <w:tabs>
              <w:tab w:val="left" w:pos="1100"/>
            </w:tabs>
            <w:rPr>
              <w:rFonts w:asciiTheme="minorHAnsi" w:eastAsiaTheme="minorEastAsia" w:hAnsiTheme="minorHAnsi"/>
              <w:lang w:eastAsia="en-AU"/>
            </w:rPr>
          </w:pPr>
          <w:hyperlink w:anchor="_Toc117609184" w:history="1">
            <w:r w:rsidR="00743B85" w:rsidRPr="00BA376A">
              <w:rPr>
                <w:rStyle w:val="Hyperlink"/>
              </w:rPr>
              <w:t>5.1</w:t>
            </w:r>
            <w:r w:rsidR="00743B85">
              <w:rPr>
                <w:rFonts w:asciiTheme="minorHAnsi" w:eastAsiaTheme="minorEastAsia" w:hAnsiTheme="minorHAnsi"/>
                <w:lang w:eastAsia="en-AU"/>
              </w:rPr>
              <w:tab/>
            </w:r>
            <w:r w:rsidR="00743B85" w:rsidRPr="00BA376A">
              <w:rPr>
                <w:rStyle w:val="Hyperlink"/>
              </w:rPr>
              <w:t>Risk-based regulation</w:t>
            </w:r>
            <w:r w:rsidR="00743B85">
              <w:rPr>
                <w:webHidden/>
              </w:rPr>
              <w:tab/>
            </w:r>
            <w:r w:rsidR="00743B85">
              <w:rPr>
                <w:webHidden/>
              </w:rPr>
              <w:fldChar w:fldCharType="begin"/>
            </w:r>
            <w:r w:rsidR="00743B85">
              <w:rPr>
                <w:webHidden/>
              </w:rPr>
              <w:instrText xml:space="preserve"> PAGEREF _Toc117609184 \h </w:instrText>
            </w:r>
            <w:r w:rsidR="00743B85">
              <w:rPr>
                <w:webHidden/>
              </w:rPr>
            </w:r>
            <w:r w:rsidR="00743B85">
              <w:rPr>
                <w:webHidden/>
              </w:rPr>
              <w:fldChar w:fldCharType="separate"/>
            </w:r>
            <w:r w:rsidR="001A4DCC">
              <w:rPr>
                <w:webHidden/>
              </w:rPr>
              <w:t>5</w:t>
            </w:r>
            <w:r w:rsidR="00743B85">
              <w:rPr>
                <w:webHidden/>
              </w:rPr>
              <w:fldChar w:fldCharType="end"/>
            </w:r>
          </w:hyperlink>
        </w:p>
        <w:p w14:paraId="5B008669" w14:textId="24B09883" w:rsidR="00743B85" w:rsidRDefault="00211DC8">
          <w:pPr>
            <w:pStyle w:val="TOC2"/>
            <w:tabs>
              <w:tab w:val="left" w:pos="1100"/>
            </w:tabs>
            <w:rPr>
              <w:rFonts w:asciiTheme="minorHAnsi" w:eastAsiaTheme="minorEastAsia" w:hAnsiTheme="minorHAnsi"/>
              <w:lang w:eastAsia="en-AU"/>
            </w:rPr>
          </w:pPr>
          <w:hyperlink w:anchor="_Toc117609185" w:history="1">
            <w:r w:rsidR="00743B85" w:rsidRPr="00BA376A">
              <w:rPr>
                <w:rStyle w:val="Hyperlink"/>
              </w:rPr>
              <w:t>5.2</w:t>
            </w:r>
            <w:r w:rsidR="00743B85">
              <w:rPr>
                <w:rFonts w:asciiTheme="minorHAnsi" w:eastAsiaTheme="minorEastAsia" w:hAnsiTheme="minorHAnsi"/>
                <w:lang w:eastAsia="en-AU"/>
              </w:rPr>
              <w:tab/>
            </w:r>
            <w:r w:rsidR="00743B85" w:rsidRPr="00BA376A">
              <w:rPr>
                <w:rStyle w:val="Hyperlink"/>
              </w:rPr>
              <w:t>WELS regulatory response model</w:t>
            </w:r>
            <w:r w:rsidR="00743B85">
              <w:rPr>
                <w:webHidden/>
              </w:rPr>
              <w:tab/>
            </w:r>
            <w:r w:rsidR="00743B85">
              <w:rPr>
                <w:webHidden/>
              </w:rPr>
              <w:fldChar w:fldCharType="begin"/>
            </w:r>
            <w:r w:rsidR="00743B85">
              <w:rPr>
                <w:webHidden/>
              </w:rPr>
              <w:instrText xml:space="preserve"> PAGEREF _Toc117609185 \h </w:instrText>
            </w:r>
            <w:r w:rsidR="00743B85">
              <w:rPr>
                <w:webHidden/>
              </w:rPr>
            </w:r>
            <w:r w:rsidR="00743B85">
              <w:rPr>
                <w:webHidden/>
              </w:rPr>
              <w:fldChar w:fldCharType="separate"/>
            </w:r>
            <w:r w:rsidR="001A4DCC">
              <w:rPr>
                <w:webHidden/>
              </w:rPr>
              <w:t>7</w:t>
            </w:r>
            <w:r w:rsidR="00743B85">
              <w:rPr>
                <w:webHidden/>
              </w:rPr>
              <w:fldChar w:fldCharType="end"/>
            </w:r>
          </w:hyperlink>
        </w:p>
        <w:p w14:paraId="3E315C8F" w14:textId="5DACA469" w:rsidR="00743B85" w:rsidRDefault="00211DC8">
          <w:pPr>
            <w:pStyle w:val="TOC2"/>
            <w:tabs>
              <w:tab w:val="left" w:pos="1100"/>
            </w:tabs>
            <w:rPr>
              <w:rFonts w:asciiTheme="minorHAnsi" w:eastAsiaTheme="minorEastAsia" w:hAnsiTheme="minorHAnsi"/>
              <w:lang w:eastAsia="en-AU"/>
            </w:rPr>
          </w:pPr>
          <w:hyperlink w:anchor="_Toc117609186" w:history="1">
            <w:r w:rsidR="00743B85" w:rsidRPr="00BA376A">
              <w:rPr>
                <w:rStyle w:val="Hyperlink"/>
              </w:rPr>
              <w:t>5.3</w:t>
            </w:r>
            <w:r w:rsidR="00743B85">
              <w:rPr>
                <w:rFonts w:asciiTheme="minorHAnsi" w:eastAsiaTheme="minorEastAsia" w:hAnsiTheme="minorHAnsi"/>
                <w:lang w:eastAsia="en-AU"/>
              </w:rPr>
              <w:tab/>
            </w:r>
            <w:r w:rsidR="00743B85" w:rsidRPr="00BA376A">
              <w:rPr>
                <w:rStyle w:val="Hyperlink"/>
              </w:rPr>
              <w:t>Communication and education</w:t>
            </w:r>
            <w:r w:rsidR="00743B85">
              <w:rPr>
                <w:webHidden/>
              </w:rPr>
              <w:tab/>
            </w:r>
            <w:r w:rsidR="00743B85">
              <w:rPr>
                <w:webHidden/>
              </w:rPr>
              <w:fldChar w:fldCharType="begin"/>
            </w:r>
            <w:r w:rsidR="00743B85">
              <w:rPr>
                <w:webHidden/>
              </w:rPr>
              <w:instrText xml:space="preserve"> PAGEREF _Toc117609186 \h </w:instrText>
            </w:r>
            <w:r w:rsidR="00743B85">
              <w:rPr>
                <w:webHidden/>
              </w:rPr>
            </w:r>
            <w:r w:rsidR="00743B85">
              <w:rPr>
                <w:webHidden/>
              </w:rPr>
              <w:fldChar w:fldCharType="separate"/>
            </w:r>
            <w:r w:rsidR="001A4DCC">
              <w:rPr>
                <w:webHidden/>
              </w:rPr>
              <w:t>8</w:t>
            </w:r>
            <w:r w:rsidR="00743B85">
              <w:rPr>
                <w:webHidden/>
              </w:rPr>
              <w:fldChar w:fldCharType="end"/>
            </w:r>
          </w:hyperlink>
        </w:p>
        <w:p w14:paraId="06B8C1CE" w14:textId="10DD7404" w:rsidR="00743B85" w:rsidRDefault="00211DC8">
          <w:pPr>
            <w:pStyle w:val="TOC2"/>
            <w:tabs>
              <w:tab w:val="left" w:pos="1100"/>
            </w:tabs>
            <w:rPr>
              <w:rFonts w:asciiTheme="minorHAnsi" w:eastAsiaTheme="minorEastAsia" w:hAnsiTheme="minorHAnsi"/>
              <w:lang w:eastAsia="en-AU"/>
            </w:rPr>
          </w:pPr>
          <w:hyperlink w:anchor="_Toc117609187" w:history="1">
            <w:r w:rsidR="00743B85" w:rsidRPr="00BA376A">
              <w:rPr>
                <w:rStyle w:val="Hyperlink"/>
              </w:rPr>
              <w:t>5.4</w:t>
            </w:r>
            <w:r w:rsidR="00743B85">
              <w:rPr>
                <w:rFonts w:asciiTheme="minorHAnsi" w:eastAsiaTheme="minorEastAsia" w:hAnsiTheme="minorHAnsi"/>
                <w:lang w:eastAsia="en-AU"/>
              </w:rPr>
              <w:tab/>
            </w:r>
            <w:r w:rsidR="00743B85" w:rsidRPr="00BA376A">
              <w:rPr>
                <w:rStyle w:val="Hyperlink"/>
              </w:rPr>
              <w:t>Monitoring compliance</w:t>
            </w:r>
            <w:r w:rsidR="00743B85">
              <w:rPr>
                <w:webHidden/>
              </w:rPr>
              <w:tab/>
            </w:r>
            <w:r w:rsidR="00743B85">
              <w:rPr>
                <w:webHidden/>
              </w:rPr>
              <w:fldChar w:fldCharType="begin"/>
            </w:r>
            <w:r w:rsidR="00743B85">
              <w:rPr>
                <w:webHidden/>
              </w:rPr>
              <w:instrText xml:space="preserve"> PAGEREF _Toc117609187 \h </w:instrText>
            </w:r>
            <w:r w:rsidR="00743B85">
              <w:rPr>
                <w:webHidden/>
              </w:rPr>
            </w:r>
            <w:r w:rsidR="00743B85">
              <w:rPr>
                <w:webHidden/>
              </w:rPr>
              <w:fldChar w:fldCharType="separate"/>
            </w:r>
            <w:r w:rsidR="001A4DCC">
              <w:rPr>
                <w:webHidden/>
              </w:rPr>
              <w:t>8</w:t>
            </w:r>
            <w:r w:rsidR="00743B85">
              <w:rPr>
                <w:webHidden/>
              </w:rPr>
              <w:fldChar w:fldCharType="end"/>
            </w:r>
          </w:hyperlink>
        </w:p>
        <w:p w14:paraId="78EFA5DE" w14:textId="2FD9F742" w:rsidR="00743B85" w:rsidRDefault="00211DC8">
          <w:pPr>
            <w:pStyle w:val="TOC2"/>
            <w:tabs>
              <w:tab w:val="left" w:pos="1100"/>
            </w:tabs>
            <w:rPr>
              <w:rFonts w:asciiTheme="minorHAnsi" w:eastAsiaTheme="minorEastAsia" w:hAnsiTheme="minorHAnsi"/>
              <w:lang w:eastAsia="en-AU"/>
            </w:rPr>
          </w:pPr>
          <w:hyperlink w:anchor="_Toc117609188" w:history="1">
            <w:r w:rsidR="00743B85" w:rsidRPr="00BA376A">
              <w:rPr>
                <w:rStyle w:val="Hyperlink"/>
              </w:rPr>
              <w:t>5.5</w:t>
            </w:r>
            <w:r w:rsidR="00743B85">
              <w:rPr>
                <w:rFonts w:asciiTheme="minorHAnsi" w:eastAsiaTheme="minorEastAsia" w:hAnsiTheme="minorHAnsi"/>
                <w:lang w:eastAsia="en-AU"/>
              </w:rPr>
              <w:tab/>
            </w:r>
            <w:r w:rsidR="00743B85" w:rsidRPr="00BA376A">
              <w:rPr>
                <w:rStyle w:val="Hyperlink"/>
              </w:rPr>
              <w:t>Responding to non-compliance – administrative actions</w:t>
            </w:r>
            <w:r w:rsidR="00743B85">
              <w:rPr>
                <w:webHidden/>
              </w:rPr>
              <w:tab/>
            </w:r>
            <w:r w:rsidR="00743B85">
              <w:rPr>
                <w:webHidden/>
              </w:rPr>
              <w:fldChar w:fldCharType="begin"/>
            </w:r>
            <w:r w:rsidR="00743B85">
              <w:rPr>
                <w:webHidden/>
              </w:rPr>
              <w:instrText xml:space="preserve"> PAGEREF _Toc117609188 \h </w:instrText>
            </w:r>
            <w:r w:rsidR="00743B85">
              <w:rPr>
                <w:webHidden/>
              </w:rPr>
            </w:r>
            <w:r w:rsidR="00743B85">
              <w:rPr>
                <w:webHidden/>
              </w:rPr>
              <w:fldChar w:fldCharType="separate"/>
            </w:r>
            <w:r w:rsidR="001A4DCC">
              <w:rPr>
                <w:webHidden/>
              </w:rPr>
              <w:t>9</w:t>
            </w:r>
            <w:r w:rsidR="00743B85">
              <w:rPr>
                <w:webHidden/>
              </w:rPr>
              <w:fldChar w:fldCharType="end"/>
            </w:r>
          </w:hyperlink>
        </w:p>
        <w:p w14:paraId="1CBB3208" w14:textId="14886ED0" w:rsidR="00743B85" w:rsidRDefault="00211DC8">
          <w:pPr>
            <w:pStyle w:val="TOC2"/>
            <w:tabs>
              <w:tab w:val="left" w:pos="1100"/>
            </w:tabs>
            <w:rPr>
              <w:rFonts w:asciiTheme="minorHAnsi" w:eastAsiaTheme="minorEastAsia" w:hAnsiTheme="minorHAnsi"/>
              <w:lang w:eastAsia="en-AU"/>
            </w:rPr>
          </w:pPr>
          <w:hyperlink w:anchor="_Toc117609189" w:history="1">
            <w:r w:rsidR="00743B85" w:rsidRPr="00BA376A">
              <w:rPr>
                <w:rStyle w:val="Hyperlink"/>
              </w:rPr>
              <w:t>5.6</w:t>
            </w:r>
            <w:r w:rsidR="00743B85">
              <w:rPr>
                <w:rFonts w:asciiTheme="minorHAnsi" w:eastAsiaTheme="minorEastAsia" w:hAnsiTheme="minorHAnsi"/>
                <w:lang w:eastAsia="en-AU"/>
              </w:rPr>
              <w:tab/>
            </w:r>
            <w:r w:rsidR="00743B85" w:rsidRPr="00BA376A">
              <w:rPr>
                <w:rStyle w:val="Hyperlink"/>
              </w:rPr>
              <w:t>Responding to non-compliance – enforcement actions</w:t>
            </w:r>
            <w:r w:rsidR="00743B85">
              <w:rPr>
                <w:webHidden/>
              </w:rPr>
              <w:tab/>
            </w:r>
            <w:r w:rsidR="00743B85">
              <w:rPr>
                <w:webHidden/>
              </w:rPr>
              <w:fldChar w:fldCharType="begin"/>
            </w:r>
            <w:r w:rsidR="00743B85">
              <w:rPr>
                <w:webHidden/>
              </w:rPr>
              <w:instrText xml:space="preserve"> PAGEREF _Toc117609189 \h </w:instrText>
            </w:r>
            <w:r w:rsidR="00743B85">
              <w:rPr>
                <w:webHidden/>
              </w:rPr>
            </w:r>
            <w:r w:rsidR="00743B85">
              <w:rPr>
                <w:webHidden/>
              </w:rPr>
              <w:fldChar w:fldCharType="separate"/>
            </w:r>
            <w:r w:rsidR="001A4DCC">
              <w:rPr>
                <w:webHidden/>
              </w:rPr>
              <w:t>9</w:t>
            </w:r>
            <w:r w:rsidR="00743B85">
              <w:rPr>
                <w:webHidden/>
              </w:rPr>
              <w:fldChar w:fldCharType="end"/>
            </w:r>
          </w:hyperlink>
        </w:p>
        <w:p w14:paraId="547B2476" w14:textId="6A74CF62" w:rsidR="00743B85" w:rsidRDefault="00211DC8">
          <w:pPr>
            <w:pStyle w:val="TOC1"/>
            <w:rPr>
              <w:rFonts w:asciiTheme="minorHAnsi" w:eastAsiaTheme="minorEastAsia" w:hAnsiTheme="minorHAnsi"/>
              <w:b w:val="0"/>
              <w:lang w:eastAsia="en-AU"/>
            </w:rPr>
          </w:pPr>
          <w:hyperlink w:anchor="_Toc117609190" w:history="1">
            <w:r w:rsidR="00743B85" w:rsidRPr="00BA376A">
              <w:rPr>
                <w:rStyle w:val="Hyperlink"/>
              </w:rPr>
              <w:t>6</w:t>
            </w:r>
            <w:r w:rsidR="00743B85">
              <w:rPr>
                <w:rFonts w:asciiTheme="minorHAnsi" w:eastAsiaTheme="minorEastAsia" w:hAnsiTheme="minorHAnsi"/>
                <w:b w:val="0"/>
                <w:lang w:eastAsia="en-AU"/>
              </w:rPr>
              <w:tab/>
            </w:r>
            <w:r w:rsidR="00743B85" w:rsidRPr="00BA376A">
              <w:rPr>
                <w:rStyle w:val="Hyperlink"/>
              </w:rPr>
              <w:t>Information disclosure</w:t>
            </w:r>
            <w:r w:rsidR="00743B85">
              <w:rPr>
                <w:webHidden/>
              </w:rPr>
              <w:tab/>
            </w:r>
            <w:r w:rsidR="00743B85">
              <w:rPr>
                <w:webHidden/>
              </w:rPr>
              <w:fldChar w:fldCharType="begin"/>
            </w:r>
            <w:r w:rsidR="00743B85">
              <w:rPr>
                <w:webHidden/>
              </w:rPr>
              <w:instrText xml:space="preserve"> PAGEREF _Toc117609190 \h </w:instrText>
            </w:r>
            <w:r w:rsidR="00743B85">
              <w:rPr>
                <w:webHidden/>
              </w:rPr>
            </w:r>
            <w:r w:rsidR="00743B85">
              <w:rPr>
                <w:webHidden/>
              </w:rPr>
              <w:fldChar w:fldCharType="separate"/>
            </w:r>
            <w:r w:rsidR="001A4DCC">
              <w:rPr>
                <w:webHidden/>
              </w:rPr>
              <w:t>10</w:t>
            </w:r>
            <w:r w:rsidR="00743B85">
              <w:rPr>
                <w:webHidden/>
              </w:rPr>
              <w:fldChar w:fldCharType="end"/>
            </w:r>
          </w:hyperlink>
        </w:p>
        <w:p w14:paraId="1332AE9E" w14:textId="53A6CB8B" w:rsidR="00743B85" w:rsidRDefault="00211DC8">
          <w:pPr>
            <w:pStyle w:val="TOC1"/>
            <w:rPr>
              <w:rFonts w:asciiTheme="minorHAnsi" w:eastAsiaTheme="minorEastAsia" w:hAnsiTheme="minorHAnsi"/>
              <w:b w:val="0"/>
              <w:lang w:eastAsia="en-AU"/>
            </w:rPr>
          </w:pPr>
          <w:hyperlink w:anchor="_Toc117609191" w:history="1">
            <w:r w:rsidR="00743B85" w:rsidRPr="00BA376A">
              <w:rPr>
                <w:rStyle w:val="Hyperlink"/>
              </w:rPr>
              <w:t>7</w:t>
            </w:r>
            <w:r w:rsidR="00743B85">
              <w:rPr>
                <w:rFonts w:asciiTheme="minorHAnsi" w:eastAsiaTheme="minorEastAsia" w:hAnsiTheme="minorHAnsi"/>
                <w:b w:val="0"/>
                <w:lang w:eastAsia="en-AU"/>
              </w:rPr>
              <w:tab/>
            </w:r>
            <w:r w:rsidR="00743B85" w:rsidRPr="00BA376A">
              <w:rPr>
                <w:rStyle w:val="Hyperlink"/>
              </w:rPr>
              <w:t>Contact us</w:t>
            </w:r>
            <w:r w:rsidR="00743B85">
              <w:rPr>
                <w:webHidden/>
              </w:rPr>
              <w:tab/>
            </w:r>
            <w:r w:rsidR="00743B85">
              <w:rPr>
                <w:webHidden/>
              </w:rPr>
              <w:fldChar w:fldCharType="begin"/>
            </w:r>
            <w:r w:rsidR="00743B85">
              <w:rPr>
                <w:webHidden/>
              </w:rPr>
              <w:instrText xml:space="preserve"> PAGEREF _Toc117609191 \h </w:instrText>
            </w:r>
            <w:r w:rsidR="00743B85">
              <w:rPr>
                <w:webHidden/>
              </w:rPr>
            </w:r>
            <w:r w:rsidR="00743B85">
              <w:rPr>
                <w:webHidden/>
              </w:rPr>
              <w:fldChar w:fldCharType="separate"/>
            </w:r>
            <w:r w:rsidR="001A4DCC">
              <w:rPr>
                <w:webHidden/>
              </w:rPr>
              <w:t>11</w:t>
            </w:r>
            <w:r w:rsidR="00743B85">
              <w:rPr>
                <w:webHidden/>
              </w:rPr>
              <w:fldChar w:fldCharType="end"/>
            </w:r>
          </w:hyperlink>
        </w:p>
        <w:p w14:paraId="68FA3B0A" w14:textId="2E296A0A" w:rsidR="00764D6A" w:rsidRDefault="00BD538D">
          <w:r>
            <w:rPr>
              <w:b/>
              <w:noProof/>
            </w:rPr>
            <w:fldChar w:fldCharType="end"/>
          </w:r>
        </w:p>
      </w:sdtContent>
    </w:sdt>
    <w:p w14:paraId="62B7D415" w14:textId="77777777" w:rsidR="00764D6A" w:rsidRDefault="00BD538D">
      <w:pPr>
        <w:pStyle w:val="TOCHeading2"/>
        <w:rPr>
          <w:rStyle w:val="Strong"/>
        </w:rPr>
      </w:pPr>
      <w:r>
        <w:rPr>
          <w:rStyle w:val="Strong"/>
        </w:rPr>
        <w:t>Figures</w:t>
      </w:r>
    </w:p>
    <w:bookmarkStart w:id="3" w:name="_Hlk98772549"/>
    <w:p w14:paraId="0F67535D" w14:textId="4953AC01" w:rsidR="00E63FD5" w:rsidRDefault="00E63FD5" w:rsidP="00E63FD5">
      <w:pPr>
        <w:pStyle w:val="TableofFigures"/>
        <w:tabs>
          <w:tab w:val="right" w:leader="dot" w:pos="9060"/>
        </w:tabs>
        <w:rPr>
          <w:noProof/>
        </w:rPr>
      </w:pPr>
      <w:r>
        <w:fldChar w:fldCharType="begin"/>
      </w:r>
      <w:r>
        <w:instrText xml:space="preserve"> HYPERLINK \l "_Toc97716936" </w:instrText>
      </w:r>
      <w:r>
        <w:fldChar w:fldCharType="separate"/>
      </w:r>
      <w:r w:rsidRPr="009C1875">
        <w:rPr>
          <w:rStyle w:val="Hyperlink"/>
          <w:noProof/>
        </w:rPr>
        <w:t xml:space="preserve">Figure 1 </w:t>
      </w:r>
      <w:r w:rsidR="00B11054">
        <w:rPr>
          <w:rStyle w:val="Hyperlink"/>
          <w:noProof/>
        </w:rPr>
        <w:t>Products we regulate</w:t>
      </w:r>
      <w:r>
        <w:rPr>
          <w:noProof/>
          <w:webHidden/>
        </w:rPr>
        <w:tab/>
      </w:r>
      <w:r>
        <w:rPr>
          <w:noProof/>
        </w:rPr>
        <w:fldChar w:fldCharType="end"/>
      </w:r>
      <w:r w:rsidR="00B11054">
        <w:rPr>
          <w:noProof/>
        </w:rPr>
        <w:t>1</w:t>
      </w:r>
    </w:p>
    <w:bookmarkEnd w:id="3"/>
    <w:p w14:paraId="679769BB" w14:textId="20904507" w:rsidR="00B11054" w:rsidRDefault="00B11054" w:rsidP="00B11054">
      <w:pPr>
        <w:pStyle w:val="TableofFigures"/>
        <w:tabs>
          <w:tab w:val="right" w:leader="dot" w:pos="9060"/>
        </w:tabs>
        <w:rPr>
          <w:noProof/>
        </w:rPr>
      </w:pPr>
      <w:r>
        <w:fldChar w:fldCharType="begin"/>
      </w:r>
      <w:r>
        <w:instrText xml:space="preserve"> HYPERLINK \l "_Toc97716936" </w:instrText>
      </w:r>
      <w:r>
        <w:fldChar w:fldCharType="separate"/>
      </w:r>
      <w:r w:rsidRPr="009C1875">
        <w:rPr>
          <w:rStyle w:val="Hyperlink"/>
          <w:noProof/>
        </w:rPr>
        <w:t xml:space="preserve">Figure </w:t>
      </w:r>
      <w:r w:rsidR="00132DD5">
        <w:rPr>
          <w:rStyle w:val="Hyperlink"/>
          <w:noProof/>
        </w:rPr>
        <w:t>2</w:t>
      </w:r>
      <w:r w:rsidRPr="009C1875">
        <w:rPr>
          <w:rStyle w:val="Hyperlink"/>
          <w:noProof/>
        </w:rPr>
        <w:t xml:space="preserve"> </w:t>
      </w:r>
      <w:r>
        <w:rPr>
          <w:rStyle w:val="Hyperlink"/>
          <w:noProof/>
        </w:rPr>
        <w:t>Determining impact of non-compliance</w:t>
      </w:r>
      <w:r>
        <w:rPr>
          <w:noProof/>
          <w:webHidden/>
        </w:rPr>
        <w:tab/>
      </w:r>
      <w:r>
        <w:rPr>
          <w:noProof/>
        </w:rPr>
        <w:fldChar w:fldCharType="end"/>
      </w:r>
      <w:r>
        <w:rPr>
          <w:noProof/>
        </w:rPr>
        <w:t>5</w:t>
      </w:r>
    </w:p>
    <w:p w14:paraId="2493C782" w14:textId="59B4F44F" w:rsidR="00E63FD5" w:rsidRDefault="00211DC8" w:rsidP="00E63FD5">
      <w:pPr>
        <w:pStyle w:val="TableofFigures"/>
        <w:tabs>
          <w:tab w:val="right" w:leader="dot" w:pos="9060"/>
        </w:tabs>
        <w:rPr>
          <w:noProof/>
        </w:rPr>
      </w:pPr>
      <w:hyperlink w:anchor="_Toc97716936" w:history="1">
        <w:r w:rsidR="00E63FD5" w:rsidRPr="009C1875">
          <w:rPr>
            <w:rStyle w:val="Hyperlink"/>
            <w:noProof/>
          </w:rPr>
          <w:t xml:space="preserve">Figure </w:t>
        </w:r>
        <w:r w:rsidR="00132DD5">
          <w:rPr>
            <w:rStyle w:val="Hyperlink"/>
            <w:noProof/>
          </w:rPr>
          <w:t>3</w:t>
        </w:r>
        <w:r w:rsidR="00E63FD5">
          <w:rPr>
            <w:rStyle w:val="Hyperlink"/>
            <w:noProof/>
          </w:rPr>
          <w:t xml:space="preserve"> Determining </w:t>
        </w:r>
        <w:r w:rsidR="00E409F9">
          <w:rPr>
            <w:rStyle w:val="Hyperlink"/>
            <w:noProof/>
          </w:rPr>
          <w:t>likelihood</w:t>
        </w:r>
        <w:r w:rsidR="00E63FD5">
          <w:rPr>
            <w:rStyle w:val="Hyperlink"/>
            <w:noProof/>
          </w:rPr>
          <w:t xml:space="preserve"> of non-compliance</w:t>
        </w:r>
        <w:r w:rsidR="00E65458">
          <w:rPr>
            <w:rStyle w:val="Hyperlink"/>
            <w:noProof/>
          </w:rPr>
          <w:t xml:space="preserve"> and culpability</w:t>
        </w:r>
        <w:r w:rsidR="00E63FD5">
          <w:rPr>
            <w:noProof/>
            <w:webHidden/>
          </w:rPr>
          <w:tab/>
        </w:r>
      </w:hyperlink>
      <w:r w:rsidR="00B11054">
        <w:rPr>
          <w:noProof/>
        </w:rPr>
        <w:t>6</w:t>
      </w:r>
    </w:p>
    <w:p w14:paraId="4CF52BD2" w14:textId="10BD1AFC" w:rsidR="00E63FD5" w:rsidRPr="001F0179" w:rsidRDefault="00211DC8" w:rsidP="00E63FD5">
      <w:pPr>
        <w:pStyle w:val="TableofFigures"/>
        <w:tabs>
          <w:tab w:val="right" w:leader="dot" w:pos="9060"/>
        </w:tabs>
      </w:pPr>
      <w:hyperlink w:anchor="_Toc97716936" w:history="1">
        <w:r w:rsidR="00E63FD5" w:rsidRPr="009C1875">
          <w:rPr>
            <w:rStyle w:val="Hyperlink"/>
            <w:noProof/>
          </w:rPr>
          <w:t xml:space="preserve">Figure </w:t>
        </w:r>
        <w:r w:rsidR="00E63FD5">
          <w:rPr>
            <w:rStyle w:val="Hyperlink"/>
            <w:noProof/>
          </w:rPr>
          <w:t>4</w:t>
        </w:r>
        <w:r w:rsidR="00E63FD5" w:rsidRPr="009C1875">
          <w:rPr>
            <w:rStyle w:val="Hyperlink"/>
            <w:noProof/>
          </w:rPr>
          <w:t xml:space="preserve"> </w:t>
        </w:r>
        <w:r w:rsidR="00E63FD5">
          <w:rPr>
            <w:rStyle w:val="Hyperlink"/>
            <w:noProof/>
          </w:rPr>
          <w:t xml:space="preserve">WELS </w:t>
        </w:r>
        <w:r w:rsidR="00384EEF">
          <w:rPr>
            <w:rStyle w:val="Hyperlink"/>
            <w:noProof/>
          </w:rPr>
          <w:t>regulatory</w:t>
        </w:r>
        <w:r w:rsidR="00E63FD5">
          <w:rPr>
            <w:rStyle w:val="Hyperlink"/>
            <w:noProof/>
          </w:rPr>
          <w:t xml:space="preserve"> response model</w:t>
        </w:r>
        <w:r w:rsidR="00E63FD5">
          <w:rPr>
            <w:noProof/>
            <w:webHidden/>
          </w:rPr>
          <w:tab/>
        </w:r>
      </w:hyperlink>
      <w:r w:rsidR="00B11054">
        <w:rPr>
          <w:noProof/>
        </w:rPr>
        <w:t>7</w:t>
      </w:r>
    </w:p>
    <w:p w14:paraId="35DE9831" w14:textId="7BA1A008" w:rsidR="00E63FD5" w:rsidRDefault="00E63FD5" w:rsidP="00E63FD5"/>
    <w:p w14:paraId="02854002" w14:textId="77777777" w:rsidR="00E63FD5" w:rsidRPr="00E63FD5" w:rsidRDefault="00E63FD5" w:rsidP="00E63FD5"/>
    <w:p w14:paraId="3B0B65EE" w14:textId="5DBA7572" w:rsidR="009D42E4" w:rsidRDefault="009D42E4">
      <w:pPr>
        <w:sectPr w:rsidR="009D42E4" w:rsidSect="00D35165">
          <w:headerReference w:type="default" r:id="rId14"/>
          <w:footerReference w:type="default" r:id="rId15"/>
          <w:pgSz w:w="11906" w:h="16838"/>
          <w:pgMar w:top="1418" w:right="1418" w:bottom="1418" w:left="1418" w:header="567" w:footer="283" w:gutter="0"/>
          <w:pgNumType w:fmt="lowerRoman" w:start="0"/>
          <w:cols w:space="708"/>
          <w:docGrid w:linePitch="360"/>
        </w:sectPr>
      </w:pPr>
    </w:p>
    <w:p w14:paraId="3F523D65" w14:textId="77777777" w:rsidR="008030BB" w:rsidRPr="008030BB" w:rsidRDefault="00BD538D" w:rsidP="00A76A1B">
      <w:pPr>
        <w:pStyle w:val="Heading2"/>
        <w:spacing w:before="240"/>
      </w:pPr>
      <w:bookmarkStart w:id="4" w:name="_Toc117609171"/>
      <w:bookmarkStart w:id="5" w:name="_Toc430782151"/>
      <w:r w:rsidRPr="008030BB">
        <w:lastRenderedPageBreak/>
        <w:t>Purpose of this policy</w:t>
      </w:r>
      <w:bookmarkEnd w:id="4"/>
    </w:p>
    <w:p w14:paraId="510A0EAD" w14:textId="236AAE93" w:rsidR="008030BB" w:rsidRDefault="00BD538D" w:rsidP="008030BB">
      <w:pPr>
        <w:rPr>
          <w:lang w:eastAsia="ja-JP"/>
        </w:rPr>
      </w:pPr>
      <w:bookmarkStart w:id="6" w:name="_Hlk117603300"/>
      <w:r>
        <w:rPr>
          <w:lang w:eastAsia="ja-JP"/>
        </w:rPr>
        <w:t xml:space="preserve">This policy sets out </w:t>
      </w:r>
      <w:r w:rsidR="00447665">
        <w:rPr>
          <w:lang w:eastAsia="ja-JP"/>
        </w:rPr>
        <w:t xml:space="preserve">the </w:t>
      </w:r>
      <w:r>
        <w:rPr>
          <w:lang w:eastAsia="ja-JP"/>
        </w:rPr>
        <w:t>Water Efficiency Labelling and Standards (WELS) Regulator</w:t>
      </w:r>
      <w:r w:rsidR="00E07D7A">
        <w:rPr>
          <w:lang w:eastAsia="ja-JP"/>
        </w:rPr>
        <w:t>’s approach</w:t>
      </w:r>
      <w:r>
        <w:rPr>
          <w:lang w:eastAsia="ja-JP"/>
        </w:rPr>
        <w:t xml:space="preserve"> to </w:t>
      </w:r>
      <w:r w:rsidR="0015319D">
        <w:rPr>
          <w:lang w:eastAsia="ja-JP"/>
        </w:rPr>
        <w:t xml:space="preserve">performing </w:t>
      </w:r>
      <w:r>
        <w:rPr>
          <w:lang w:eastAsia="ja-JP"/>
        </w:rPr>
        <w:t xml:space="preserve">regulatory functions and </w:t>
      </w:r>
      <w:r w:rsidR="0015319D">
        <w:rPr>
          <w:lang w:eastAsia="ja-JP"/>
        </w:rPr>
        <w:t xml:space="preserve">exercising </w:t>
      </w:r>
      <w:r>
        <w:rPr>
          <w:lang w:eastAsia="ja-JP"/>
        </w:rPr>
        <w:t xml:space="preserve">powers under the WELS </w:t>
      </w:r>
      <w:r w:rsidR="0075562B">
        <w:rPr>
          <w:lang w:eastAsia="ja-JP"/>
        </w:rPr>
        <w:t>s</w:t>
      </w:r>
      <w:r w:rsidR="00E07D7A">
        <w:rPr>
          <w:lang w:eastAsia="ja-JP"/>
        </w:rPr>
        <w:t>cheme</w:t>
      </w:r>
      <w:r>
        <w:rPr>
          <w:lang w:eastAsia="ja-JP"/>
        </w:rPr>
        <w:t xml:space="preserve">. </w:t>
      </w:r>
    </w:p>
    <w:bookmarkEnd w:id="6"/>
    <w:p w14:paraId="39DEA96A" w14:textId="1EB95D41" w:rsidR="008030BB" w:rsidRDefault="00BD538D" w:rsidP="00E54D8F">
      <w:pPr>
        <w:rPr>
          <w:lang w:eastAsia="ja-JP"/>
        </w:rPr>
      </w:pPr>
      <w:r>
        <w:rPr>
          <w:lang w:eastAsia="ja-JP"/>
        </w:rPr>
        <w:t>Th</w:t>
      </w:r>
      <w:r w:rsidR="001624A3">
        <w:rPr>
          <w:lang w:eastAsia="ja-JP"/>
        </w:rPr>
        <w:t>is</w:t>
      </w:r>
      <w:r>
        <w:rPr>
          <w:lang w:eastAsia="ja-JP"/>
        </w:rPr>
        <w:t xml:space="preserve"> policy</w:t>
      </w:r>
      <w:r w:rsidR="001624A3">
        <w:rPr>
          <w:lang w:eastAsia="ja-JP"/>
        </w:rPr>
        <w:t xml:space="preserve"> </w:t>
      </w:r>
      <w:r w:rsidR="008137D5">
        <w:rPr>
          <w:lang w:eastAsia="ja-JP"/>
        </w:rPr>
        <w:t>outline</w:t>
      </w:r>
      <w:r w:rsidR="001624A3">
        <w:rPr>
          <w:lang w:eastAsia="ja-JP"/>
        </w:rPr>
        <w:t>s</w:t>
      </w:r>
      <w:r w:rsidR="008137D5">
        <w:rPr>
          <w:lang w:eastAsia="ja-JP"/>
        </w:rPr>
        <w:t xml:space="preserve"> our compliance objectives and response measures to non-compliance </w:t>
      </w:r>
      <w:r w:rsidR="001624A3">
        <w:rPr>
          <w:lang w:eastAsia="ja-JP"/>
        </w:rPr>
        <w:t xml:space="preserve">and </w:t>
      </w:r>
      <w:r>
        <w:rPr>
          <w:lang w:eastAsia="ja-JP"/>
        </w:rPr>
        <w:t>pro</w:t>
      </w:r>
      <w:r w:rsidR="008137D5">
        <w:rPr>
          <w:lang w:eastAsia="ja-JP"/>
        </w:rPr>
        <w:t>vide</w:t>
      </w:r>
      <w:r w:rsidR="001624A3">
        <w:rPr>
          <w:lang w:eastAsia="ja-JP"/>
        </w:rPr>
        <w:t>s</w:t>
      </w:r>
      <w:r>
        <w:rPr>
          <w:lang w:eastAsia="ja-JP"/>
        </w:rPr>
        <w:t xml:space="preserve"> transparency in the way we regulate the scheme.</w:t>
      </w:r>
    </w:p>
    <w:p w14:paraId="07FFBCD3" w14:textId="77777777" w:rsidR="00764D6A" w:rsidRDefault="00BD538D" w:rsidP="00957457">
      <w:pPr>
        <w:pStyle w:val="Heading2"/>
        <w:pageBreakBefore w:val="0"/>
        <w:spacing w:before="240"/>
      </w:pPr>
      <w:bookmarkStart w:id="7" w:name="_Toc106783560"/>
      <w:bookmarkStart w:id="8" w:name="_Toc106783561"/>
      <w:bookmarkStart w:id="9" w:name="_Toc106783562"/>
      <w:bookmarkStart w:id="10" w:name="_Toc106783563"/>
      <w:bookmarkStart w:id="11" w:name="_Toc106783564"/>
      <w:bookmarkStart w:id="12" w:name="_Toc106783565"/>
      <w:bookmarkStart w:id="13" w:name="_Toc117609172"/>
      <w:bookmarkEnd w:id="7"/>
      <w:bookmarkEnd w:id="8"/>
      <w:bookmarkEnd w:id="9"/>
      <w:bookmarkEnd w:id="10"/>
      <w:bookmarkEnd w:id="11"/>
      <w:bookmarkEnd w:id="12"/>
      <w:r w:rsidRPr="008F7B07">
        <w:t>Introduction</w:t>
      </w:r>
      <w:bookmarkEnd w:id="5"/>
      <w:bookmarkEnd w:id="13"/>
    </w:p>
    <w:p w14:paraId="65EBE527" w14:textId="1666D20C" w:rsidR="006C27BE" w:rsidRDefault="000020C3" w:rsidP="0003539E">
      <w:pPr>
        <w:pStyle w:val="Heading3"/>
      </w:pPr>
      <w:bookmarkStart w:id="14" w:name="_Toc117609173"/>
      <w:r>
        <w:t>WELS</w:t>
      </w:r>
      <w:r w:rsidR="006C27BE">
        <w:t xml:space="preserve"> </w:t>
      </w:r>
      <w:r w:rsidR="0066151F">
        <w:t>s</w:t>
      </w:r>
      <w:r w:rsidR="006C27BE">
        <w:t>cheme</w:t>
      </w:r>
      <w:r>
        <w:t xml:space="preserve"> Purpose</w:t>
      </w:r>
      <w:bookmarkEnd w:id="14"/>
    </w:p>
    <w:p w14:paraId="78FB961C" w14:textId="316F0449" w:rsidR="008F7B07" w:rsidRDefault="00BD538D" w:rsidP="008F7B07">
      <w:r>
        <w:t xml:space="preserve">The WELS </w:t>
      </w:r>
      <w:r w:rsidR="007652ED">
        <w:t xml:space="preserve">scheme </w:t>
      </w:r>
      <w:r>
        <w:t xml:space="preserve">is a </w:t>
      </w:r>
      <w:r w:rsidR="00C04A5F">
        <w:t>partnership</w:t>
      </w:r>
      <w:r>
        <w:t xml:space="preserve"> between the Australian Government, state and territory governments and industry.</w:t>
      </w:r>
    </w:p>
    <w:p w14:paraId="78DEBAE2" w14:textId="4D31831B" w:rsidR="007652ED" w:rsidRDefault="007652ED" w:rsidP="008F7B07">
      <w:r w:rsidRPr="007652ED">
        <w:t xml:space="preserve">​​​​​The WELS scheme is Australia's urban water saving scheme. </w:t>
      </w:r>
      <w:r w:rsidR="007932A0">
        <w:t>The scheme</w:t>
      </w:r>
      <w:r w:rsidR="007932A0" w:rsidRPr="007652ED">
        <w:t xml:space="preserve"> </w:t>
      </w:r>
      <w:r w:rsidRPr="007652ED">
        <w:t xml:space="preserve">reduces demand for water by informing consumers about </w:t>
      </w:r>
      <w:r w:rsidR="007932A0">
        <w:t xml:space="preserve">the </w:t>
      </w:r>
      <w:r w:rsidRPr="007652ED">
        <w:t>water efficiency</w:t>
      </w:r>
      <w:r w:rsidR="007932A0">
        <w:t xml:space="preserve"> of fittings and appliances</w:t>
      </w:r>
      <w:r w:rsidRPr="007652ED">
        <w:t xml:space="preserve"> at the point of sale.</w:t>
      </w:r>
    </w:p>
    <w:p w14:paraId="29A65521" w14:textId="04E8E600" w:rsidR="00E07D7A" w:rsidRDefault="00BD538D" w:rsidP="008F7B07">
      <w:r>
        <w:t xml:space="preserve">The </w:t>
      </w:r>
      <w:r w:rsidR="00AE481D">
        <w:t>s</w:t>
      </w:r>
      <w:r>
        <w:t xml:space="preserve">cheme helps consumers </w:t>
      </w:r>
      <w:r w:rsidR="00CE3B2B">
        <w:t>choose products</w:t>
      </w:r>
      <w:r>
        <w:t xml:space="preserve"> that can reduce their water use, sa</w:t>
      </w:r>
      <w:r w:rsidR="00E07D7A">
        <w:t xml:space="preserve">ve </w:t>
      </w:r>
      <w:r>
        <w:t>money on water and energy bills</w:t>
      </w:r>
      <w:r w:rsidR="00E07D7A">
        <w:t>,</w:t>
      </w:r>
      <w:r>
        <w:t xml:space="preserve"> </w:t>
      </w:r>
      <w:r w:rsidR="00E07D7A">
        <w:t xml:space="preserve">and </w:t>
      </w:r>
      <w:r>
        <w:t>improv</w:t>
      </w:r>
      <w:r w:rsidR="00E07D7A">
        <w:t>e</w:t>
      </w:r>
      <w:r>
        <w:t xml:space="preserve"> national water security and reliability. </w:t>
      </w:r>
    </w:p>
    <w:p w14:paraId="7D069B6B" w14:textId="0EACE217" w:rsidR="006C27BE" w:rsidRDefault="00BD538D" w:rsidP="008F7B07">
      <w:r>
        <w:t>In 202</w:t>
      </w:r>
      <w:r w:rsidR="00765131">
        <w:t>3</w:t>
      </w:r>
      <w:r w:rsidR="004C35CE">
        <w:t>,</w:t>
      </w:r>
      <w:r>
        <w:t xml:space="preserve"> the </w:t>
      </w:r>
      <w:r w:rsidR="00AE481D">
        <w:t>s</w:t>
      </w:r>
      <w:r w:rsidR="004C35CE">
        <w:t xml:space="preserve">cheme </w:t>
      </w:r>
      <w:r>
        <w:t>is expected to save</w:t>
      </w:r>
      <w:r w:rsidR="006C27BE">
        <w:t>:</w:t>
      </w:r>
      <w:r>
        <w:t xml:space="preserve"> </w:t>
      </w:r>
    </w:p>
    <w:p w14:paraId="5B17C86E" w14:textId="436F2378" w:rsidR="006C27BE" w:rsidRDefault="00BD538D" w:rsidP="0003539E">
      <w:pPr>
        <w:pStyle w:val="ListParagraph"/>
        <w:numPr>
          <w:ilvl w:val="0"/>
          <w:numId w:val="35"/>
        </w:numPr>
      </w:pPr>
      <w:r>
        <w:t>1</w:t>
      </w:r>
      <w:r w:rsidR="00765131">
        <w:t>6</w:t>
      </w:r>
      <w:r w:rsidR="00687AC3">
        <w:t>5.2</w:t>
      </w:r>
      <w:r w:rsidR="00AF7F46">
        <w:t> </w:t>
      </w:r>
      <w:r>
        <w:t>GL of water across Australia</w:t>
      </w:r>
      <w:r w:rsidR="006C27BE">
        <w:t xml:space="preserve">. </w:t>
      </w:r>
      <w:r w:rsidR="0025158B">
        <w:t>This</w:t>
      </w:r>
      <w:r w:rsidR="004C35CE">
        <w:t xml:space="preserve"> </w:t>
      </w:r>
      <w:r w:rsidR="001624A3">
        <w:t xml:space="preserve">is equivalent </w:t>
      </w:r>
      <w:r w:rsidR="006C27BE">
        <w:t>to</w:t>
      </w:r>
      <w:r w:rsidR="004C35CE">
        <w:t xml:space="preserve"> </w:t>
      </w:r>
      <w:r w:rsidR="00765131">
        <w:t>6</w:t>
      </w:r>
      <w:r w:rsidR="00687AC3">
        <w:t>6,080</w:t>
      </w:r>
      <w:r w:rsidR="004C35CE">
        <w:t xml:space="preserve"> Olympic-size swimming pools</w:t>
      </w:r>
      <w:r w:rsidR="001624A3">
        <w:t xml:space="preserve"> and </w:t>
      </w:r>
      <w:r w:rsidR="00B56D35">
        <w:t xml:space="preserve">more than </w:t>
      </w:r>
      <w:r w:rsidR="007769F6">
        <w:t xml:space="preserve">17 </w:t>
      </w:r>
      <w:r w:rsidR="001624A3">
        <w:t>litres per person per day</w:t>
      </w:r>
      <w:r w:rsidR="00B05F1F">
        <w:rPr>
          <w:rStyle w:val="FootnoteReference"/>
        </w:rPr>
        <w:footnoteReference w:id="1"/>
      </w:r>
      <w:r w:rsidR="001624A3">
        <w:t>.</w:t>
      </w:r>
      <w:r w:rsidR="004C35CE">
        <w:t xml:space="preserve"> </w:t>
      </w:r>
    </w:p>
    <w:p w14:paraId="66BA977F" w14:textId="3094901D" w:rsidR="008F7B07" w:rsidRDefault="006C27BE" w:rsidP="0003539E">
      <w:pPr>
        <w:pStyle w:val="ListParagraph"/>
        <w:numPr>
          <w:ilvl w:val="0"/>
          <w:numId w:val="35"/>
        </w:numPr>
      </w:pPr>
      <w:r>
        <w:t>$</w:t>
      </w:r>
      <w:r w:rsidR="002A2F76">
        <w:t>1.5</w:t>
      </w:r>
      <w:r w:rsidR="00687AC3">
        <w:t>41</w:t>
      </w:r>
      <w:r w:rsidR="00E25F06">
        <w:t xml:space="preserve"> B</w:t>
      </w:r>
      <w:r>
        <w:t>illion in reduced utility bills. That is</w:t>
      </w:r>
      <w:r w:rsidR="004C35CE">
        <w:t xml:space="preserve"> roughly $</w:t>
      </w:r>
      <w:r w:rsidR="007769F6">
        <w:t xml:space="preserve">143 </w:t>
      </w:r>
      <w:r w:rsidR="004C35CE">
        <w:t>per household</w:t>
      </w:r>
      <w:r>
        <w:rPr>
          <w:rStyle w:val="FootnoteReference"/>
        </w:rPr>
        <w:footnoteReference w:id="2"/>
      </w:r>
      <w:r w:rsidR="00343D64">
        <w:t xml:space="preserve"> per year</w:t>
      </w:r>
      <w:r w:rsidR="004C35CE">
        <w:t>.</w:t>
      </w:r>
    </w:p>
    <w:p w14:paraId="38C9ED46" w14:textId="0C1E2561" w:rsidR="006C27BE" w:rsidRDefault="006C27BE" w:rsidP="0003539E">
      <w:pPr>
        <w:pStyle w:val="Heading3"/>
      </w:pPr>
      <w:bookmarkStart w:id="15" w:name="_Toc117609174"/>
      <w:r>
        <w:t>Products we regulate</w:t>
      </w:r>
      <w:bookmarkEnd w:id="15"/>
    </w:p>
    <w:p w14:paraId="6C306D75" w14:textId="1DBD8EDB" w:rsidR="00EF4FEE" w:rsidRDefault="00EE31DA" w:rsidP="00EF4FEE">
      <w:pPr>
        <w:jc w:val="center"/>
      </w:pPr>
      <w:r>
        <w:rPr>
          <w:noProof/>
        </w:rPr>
        <w:drawing>
          <wp:inline distT="0" distB="0" distL="0" distR="0" wp14:anchorId="3F95659D" wp14:editId="4EEB8172">
            <wp:extent cx="3628848" cy="25654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666172" cy="2591786"/>
                    </a:xfrm>
                    <a:prstGeom prst="rect">
                      <a:avLst/>
                    </a:prstGeom>
                  </pic:spPr>
                </pic:pic>
              </a:graphicData>
            </a:graphic>
          </wp:inline>
        </w:drawing>
      </w:r>
    </w:p>
    <w:p w14:paraId="51064765" w14:textId="5D4CF3C3" w:rsidR="00B56D35" w:rsidRDefault="00E51E22" w:rsidP="00EF4FEE">
      <w:r>
        <w:lastRenderedPageBreak/>
        <w:t xml:space="preserve">Regulated products are required to meet Australian Standards for water efficiency and must be registered and labelled with their water rating information when supplied. </w:t>
      </w:r>
      <w:r w:rsidR="00E17F21" w:rsidRPr="00E17F21">
        <w:t xml:space="preserve">Under the section 7A of the </w:t>
      </w:r>
      <w:r w:rsidR="00447665" w:rsidRPr="00E54D8F">
        <w:rPr>
          <w:i/>
          <w:iCs/>
        </w:rPr>
        <w:t xml:space="preserve">Water Efficiency Labelling and Standards Act 2005 </w:t>
      </w:r>
      <w:r w:rsidR="00447665" w:rsidRPr="00B204E8">
        <w:t>(Cth)</w:t>
      </w:r>
      <w:r w:rsidR="00447665" w:rsidRPr="00447665">
        <w:t xml:space="preserve"> (WELS Act)</w:t>
      </w:r>
      <w:r w:rsidR="00E17F21" w:rsidRPr="00E17F21">
        <w:t>, supply includes advertising, displaying in stores and online, selling, gifting, re</w:t>
      </w:r>
      <w:r w:rsidR="00E17F21">
        <w:noBreakHyphen/>
      </w:r>
      <w:r w:rsidR="00E17F21" w:rsidRPr="00E17F21">
        <w:t>supplying, exchanging, and supplying as part of another thing</w:t>
      </w:r>
      <w:r>
        <w:t>.</w:t>
      </w:r>
    </w:p>
    <w:p w14:paraId="32C8ED9A" w14:textId="58ABC736" w:rsidR="00B56D35" w:rsidRDefault="00B56D35" w:rsidP="00B56D35">
      <w:r>
        <w:t>All parts of the supply chain, from manufacturers through to retailers and installers, have an obligation to ensure products offered for sale in Australia are registered and labelled correctly. This ensures consumers can make an informed choice about their purchases based on the water efficiency of the products.</w:t>
      </w:r>
    </w:p>
    <w:p w14:paraId="15A5F522" w14:textId="4A6F2632" w:rsidR="00B56D35" w:rsidRDefault="00B56D35" w:rsidP="00B56D35">
      <w:pPr>
        <w:rPr>
          <w:rStyle w:val="Heading2Char"/>
        </w:rPr>
      </w:pPr>
      <w:r>
        <w:t xml:space="preserve">Learn more about the </w:t>
      </w:r>
      <w:r w:rsidRPr="00F92F96">
        <w:t>scheme</w:t>
      </w:r>
      <w:r>
        <w:t xml:space="preserve"> on the </w:t>
      </w:r>
      <w:hyperlink r:id="rId17" w:history="1">
        <w:r>
          <w:rPr>
            <w:rStyle w:val="Hyperlink"/>
          </w:rPr>
          <w:t>w</w:t>
        </w:r>
        <w:r w:rsidRPr="001D1B91">
          <w:rPr>
            <w:rStyle w:val="Hyperlink"/>
          </w:rPr>
          <w:t>aterrating.gov.au</w:t>
        </w:r>
      </w:hyperlink>
      <w:r>
        <w:t>.</w:t>
      </w:r>
      <w:bookmarkStart w:id="16" w:name="_Toc117609175"/>
      <w:bookmarkStart w:id="17" w:name="_Hlk109914212"/>
    </w:p>
    <w:p w14:paraId="07EC5DFC" w14:textId="00BAB45D" w:rsidR="008F7B07" w:rsidRPr="00B56D35" w:rsidRDefault="006C27BE" w:rsidP="00B56D35">
      <w:pPr>
        <w:pStyle w:val="Heading2"/>
        <w:pageBreakBefore w:val="0"/>
        <w:spacing w:before="240"/>
      </w:pPr>
      <w:r w:rsidRPr="00B56D35">
        <w:rPr>
          <w:bCs w:val="0"/>
        </w:rPr>
        <w:t>Regulatory context</w:t>
      </w:r>
      <w:bookmarkEnd w:id="16"/>
    </w:p>
    <w:p w14:paraId="729272CB" w14:textId="2A703847" w:rsidR="006C27BE" w:rsidRDefault="006C27BE" w:rsidP="0003539E">
      <w:pPr>
        <w:pStyle w:val="Heading3"/>
      </w:pPr>
      <w:bookmarkStart w:id="18" w:name="_Toc117609176"/>
      <w:r>
        <w:t>Legislation</w:t>
      </w:r>
      <w:bookmarkEnd w:id="18"/>
    </w:p>
    <w:p w14:paraId="140651FA" w14:textId="6B4E60E6" w:rsidR="008F7B07" w:rsidRDefault="00BD538D" w:rsidP="008F7B07">
      <w:r>
        <w:t>The scheme was established in 2005 under WELS Act.</w:t>
      </w:r>
      <w:r w:rsidR="00447665">
        <w:t xml:space="preserve"> </w:t>
      </w:r>
      <w:r>
        <w:t>The objects of the WELS Act are:</w:t>
      </w:r>
    </w:p>
    <w:p w14:paraId="5183B1AC" w14:textId="77777777" w:rsidR="008F7B07" w:rsidRDefault="00BD538D" w:rsidP="008F7B07">
      <w:pPr>
        <w:pStyle w:val="ListBullet"/>
      </w:pPr>
      <w:r>
        <w:t>to conserve water supplies by reducing water consumption</w:t>
      </w:r>
    </w:p>
    <w:p w14:paraId="4443E2C2" w14:textId="77777777" w:rsidR="008F7B07" w:rsidRDefault="00BD538D" w:rsidP="008F7B07">
      <w:pPr>
        <w:pStyle w:val="ListBullet"/>
      </w:pPr>
      <w:r>
        <w:t>to provide information for purchasers of water-use and water-saving products</w:t>
      </w:r>
    </w:p>
    <w:p w14:paraId="7B5F0D0E" w14:textId="77777777" w:rsidR="008F7B07" w:rsidRDefault="00BD538D" w:rsidP="008F7B07">
      <w:pPr>
        <w:pStyle w:val="ListBullet"/>
      </w:pPr>
      <w:r>
        <w:t>to promote the adoption of efficient and effective water-use and water-saving technologies.</w:t>
      </w:r>
    </w:p>
    <w:p w14:paraId="1047BAF3" w14:textId="77777777" w:rsidR="006C27BE" w:rsidRDefault="00BD538D" w:rsidP="008F7B07">
      <w:r>
        <w:t xml:space="preserve">The WELS Act is supported by delegated Commonwealth legislation and by complementary legislation enacted in all states and territories. </w:t>
      </w:r>
    </w:p>
    <w:p w14:paraId="0884D776" w14:textId="6E0D5376" w:rsidR="008F7B07" w:rsidRDefault="00BD538D" w:rsidP="008F7B07">
      <w:r>
        <w:t>Delegated Commonwealth legislation includes:</w:t>
      </w:r>
    </w:p>
    <w:p w14:paraId="6B4A89A1" w14:textId="77777777" w:rsidR="008F7B07" w:rsidRPr="00737FA2" w:rsidRDefault="00BD538D" w:rsidP="008F7B07">
      <w:pPr>
        <w:pStyle w:val="ListBullet"/>
        <w:rPr>
          <w:rStyle w:val="Emphasis"/>
        </w:rPr>
      </w:pPr>
      <w:r w:rsidRPr="00737FA2">
        <w:rPr>
          <w:rStyle w:val="Emphasis"/>
        </w:rPr>
        <w:t>Water Efficiency Labelling and Standards Regulations 2005</w:t>
      </w:r>
    </w:p>
    <w:p w14:paraId="258ED56F" w14:textId="77777777" w:rsidR="008F7B07" w:rsidRPr="00737FA2" w:rsidRDefault="00BD538D" w:rsidP="008F7B07">
      <w:pPr>
        <w:pStyle w:val="ListBullet"/>
        <w:rPr>
          <w:rStyle w:val="Emphasis"/>
        </w:rPr>
      </w:pPr>
      <w:r w:rsidRPr="00737FA2">
        <w:rPr>
          <w:rStyle w:val="Emphasis"/>
        </w:rPr>
        <w:t>Water Efficiency Labelling and Standards Determination 2013 (No.</w:t>
      </w:r>
      <w:r w:rsidR="00F92F96">
        <w:rPr>
          <w:rStyle w:val="Emphasis"/>
        </w:rPr>
        <w:t> </w:t>
      </w:r>
      <w:r w:rsidRPr="00737FA2">
        <w:rPr>
          <w:rStyle w:val="Emphasis"/>
        </w:rPr>
        <w:t>2)</w:t>
      </w:r>
    </w:p>
    <w:p w14:paraId="739EC52F" w14:textId="77777777" w:rsidR="008F7B07" w:rsidRPr="00737FA2" w:rsidRDefault="00BD538D" w:rsidP="008F7B07">
      <w:pPr>
        <w:pStyle w:val="ListBullet"/>
        <w:rPr>
          <w:rStyle w:val="Emphasis"/>
        </w:rPr>
      </w:pPr>
      <w:r w:rsidRPr="00737FA2">
        <w:rPr>
          <w:rStyle w:val="Emphasis"/>
        </w:rPr>
        <w:t>Water Efficiency Labelling and Standards (Registration Fees) Act 2013</w:t>
      </w:r>
    </w:p>
    <w:p w14:paraId="2CFF8F51" w14:textId="77777777" w:rsidR="008F7B07" w:rsidRDefault="00BD538D" w:rsidP="008F7B07">
      <w:pPr>
        <w:pStyle w:val="ListBullet"/>
      </w:pPr>
      <w:r w:rsidRPr="00737FA2">
        <w:rPr>
          <w:rStyle w:val="Emphasis"/>
        </w:rPr>
        <w:t>Water Efficiency Labelling and Standards (Registration Fees) Determination 2013</w:t>
      </w:r>
      <w:r>
        <w:t>.</w:t>
      </w:r>
    </w:p>
    <w:p w14:paraId="59CF12A3" w14:textId="3FB76709" w:rsidR="006C27BE" w:rsidRDefault="00E335FC" w:rsidP="0003539E">
      <w:pPr>
        <w:pStyle w:val="Heading3"/>
      </w:pPr>
      <w:bookmarkStart w:id="19" w:name="_Toc117609177"/>
      <w:r>
        <w:t xml:space="preserve">Australian </w:t>
      </w:r>
      <w:r w:rsidR="00611221">
        <w:t xml:space="preserve">and New Zealand </w:t>
      </w:r>
      <w:r w:rsidR="006C27BE">
        <w:t>Standards</w:t>
      </w:r>
      <w:bookmarkEnd w:id="19"/>
    </w:p>
    <w:p w14:paraId="49260E75" w14:textId="2284C039" w:rsidR="006C27BE" w:rsidRDefault="00BD538D" w:rsidP="008F7B07">
      <w:r>
        <w:t xml:space="preserve">The WELS Act establishes the WELS Standard which sets out the technical basis for rating water efficiency and performance in specified products and for labelling and registration. </w:t>
      </w:r>
    </w:p>
    <w:p w14:paraId="6329D7FC" w14:textId="38E8439A" w:rsidR="008F7B07" w:rsidRDefault="00BD538D" w:rsidP="008F7B07">
      <w:r>
        <w:t xml:space="preserve">The WELS Standard is AS/NZS 6400:2016 </w:t>
      </w:r>
      <w:r w:rsidRPr="00737FA2">
        <w:rPr>
          <w:rStyle w:val="Emphasis"/>
        </w:rPr>
        <w:t xml:space="preserve">Water efficient products </w:t>
      </w:r>
      <w:r w:rsidR="000F589C">
        <w:rPr>
          <w:rStyle w:val="Emphasis"/>
        </w:rPr>
        <w:t>–</w:t>
      </w:r>
      <w:r w:rsidR="000F589C" w:rsidRPr="00737FA2">
        <w:rPr>
          <w:rStyle w:val="Emphasis"/>
        </w:rPr>
        <w:t xml:space="preserve"> </w:t>
      </w:r>
      <w:r w:rsidRPr="00737FA2">
        <w:rPr>
          <w:rStyle w:val="Emphasis"/>
        </w:rPr>
        <w:t>Rating and labelling</w:t>
      </w:r>
      <w:r>
        <w:t xml:space="preserve">. </w:t>
      </w:r>
    </w:p>
    <w:p w14:paraId="574FDC47" w14:textId="305D281F" w:rsidR="00A63AA6" w:rsidRDefault="00BD538D" w:rsidP="008F7B07">
      <w:r>
        <w:t xml:space="preserve">The WELS Standard is linked to other product standards such as AS/NZS 3662:2013 </w:t>
      </w:r>
      <w:r w:rsidRPr="008F7B07">
        <w:rPr>
          <w:rStyle w:val="Emphasis"/>
        </w:rPr>
        <w:t>Performance of showers for bathing</w:t>
      </w:r>
      <w:r>
        <w:t xml:space="preserve"> and to the Plumbing Code of Australia</w:t>
      </w:r>
      <w:r w:rsidR="00447665">
        <w:t xml:space="preserve"> (the Plumbing Code)</w:t>
      </w:r>
      <w:r>
        <w:t>, which is a part of the National Construction Code.</w:t>
      </w:r>
    </w:p>
    <w:p w14:paraId="20400F34" w14:textId="77777777" w:rsidR="00611221" w:rsidRDefault="00BD538D" w:rsidP="008F7B07">
      <w:r>
        <w:t xml:space="preserve">The Plumbing Code </w:t>
      </w:r>
      <w:r w:rsidR="00447665">
        <w:t>sets the requirements for</w:t>
      </w:r>
      <w:r>
        <w:t xml:space="preserve"> the design, construction and maintenance of plumbing and drainage systems in new and existing buildings. The </w:t>
      </w:r>
      <w:r w:rsidR="00180E75">
        <w:t>c</w:t>
      </w:r>
      <w:r w:rsidR="006C27BE">
        <w:t xml:space="preserve">ode </w:t>
      </w:r>
      <w:r>
        <w:t xml:space="preserve">covers WELS plumbing products when they are intended for use in a </w:t>
      </w:r>
      <w:r w:rsidR="00FF77C3" w:rsidRPr="00497DCD">
        <w:t>plumbing and drainage system</w:t>
      </w:r>
      <w:r>
        <w:t xml:space="preserve">. </w:t>
      </w:r>
    </w:p>
    <w:p w14:paraId="2DC261B1" w14:textId="1E2C3027" w:rsidR="008F7B07" w:rsidRDefault="000F589C" w:rsidP="008F7B07">
      <w:r>
        <w:lastRenderedPageBreak/>
        <w:t>For a</w:t>
      </w:r>
      <w:r w:rsidR="00BD538D">
        <w:t xml:space="preserve"> full list of documents referenced in the WELS Standard</w:t>
      </w:r>
      <w:r>
        <w:t>, see</w:t>
      </w:r>
      <w:r w:rsidR="00BD538D">
        <w:t xml:space="preserve"> </w:t>
      </w:r>
      <w:r w:rsidR="0004279A">
        <w:t>subsection 1.5</w:t>
      </w:r>
      <w:r w:rsidR="006E4A51">
        <w:t xml:space="preserve"> </w:t>
      </w:r>
      <w:r w:rsidR="00BD538D">
        <w:t xml:space="preserve">of the </w:t>
      </w:r>
      <w:r w:rsidR="00BD538D" w:rsidRPr="00944733">
        <w:t>Standard</w:t>
      </w:r>
      <w:r w:rsidR="00BD538D">
        <w:t>.</w:t>
      </w:r>
    </w:p>
    <w:p w14:paraId="52A1AFD2" w14:textId="64198274" w:rsidR="00FF77C3" w:rsidRDefault="00FF77C3" w:rsidP="00FF77C3">
      <w:pPr>
        <w:pStyle w:val="Heading3"/>
      </w:pPr>
      <w:bookmarkStart w:id="20" w:name="_Toc117609178"/>
      <w:r>
        <w:t>International Standard</w:t>
      </w:r>
      <w:bookmarkEnd w:id="20"/>
      <w:r>
        <w:t xml:space="preserve"> </w:t>
      </w:r>
    </w:p>
    <w:p w14:paraId="39B149DE" w14:textId="3A3E2A1C" w:rsidR="00FF77C3" w:rsidRDefault="00FF77C3" w:rsidP="00FF77C3">
      <w:r w:rsidRPr="00FF77C3">
        <w:t xml:space="preserve">The international standard ISO 31600:2022 – </w:t>
      </w:r>
      <w:r w:rsidRPr="007652ED">
        <w:rPr>
          <w:i/>
          <w:iCs/>
        </w:rPr>
        <w:t>Water efficiency labelling programmes – Requirements with guidance for implementation</w:t>
      </w:r>
      <w:r w:rsidRPr="00FF77C3">
        <w:t xml:space="preserve"> provides a framework of requirements for the development of a water efficiency labelling program. </w:t>
      </w:r>
    </w:p>
    <w:p w14:paraId="1FE2F949" w14:textId="24DD2A59" w:rsidR="00FF77C3" w:rsidRDefault="00FF77C3" w:rsidP="00FF77C3">
      <w:r w:rsidRPr="00FF77C3">
        <w:t xml:space="preserve">The WELS scheme </w:t>
      </w:r>
      <w:r w:rsidR="00180E75">
        <w:t>meets</w:t>
      </w:r>
      <w:r w:rsidRPr="00FF77C3">
        <w:t xml:space="preserve"> the requirements of ISO 31600</w:t>
      </w:r>
      <w:r w:rsidR="00E335FC">
        <w:t>:2022</w:t>
      </w:r>
      <w:r w:rsidRPr="00FF77C3">
        <w:t xml:space="preserve"> and is recognised in the standard as a well-established and effective water efficiency labelling program.</w:t>
      </w:r>
      <w:r>
        <w:t xml:space="preserve"> </w:t>
      </w:r>
    </w:p>
    <w:p w14:paraId="33F2EB57" w14:textId="128616F9" w:rsidR="005473A2" w:rsidRDefault="00180E75" w:rsidP="0003539E">
      <w:pPr>
        <w:pStyle w:val="Heading3"/>
      </w:pPr>
      <w:bookmarkStart w:id="21" w:name="_Toc111817114"/>
      <w:bookmarkStart w:id="22" w:name="_Toc117609179"/>
      <w:bookmarkEnd w:id="21"/>
      <w:r>
        <w:t>R</w:t>
      </w:r>
      <w:r w:rsidR="00343D64">
        <w:t>elated</w:t>
      </w:r>
      <w:r w:rsidR="00CE3074">
        <w:t xml:space="preserve"> regulatory </w:t>
      </w:r>
      <w:r w:rsidR="005473A2">
        <w:t>programs</w:t>
      </w:r>
      <w:bookmarkEnd w:id="22"/>
    </w:p>
    <w:p w14:paraId="19503FA8" w14:textId="7C0018F9" w:rsidR="005473A2" w:rsidRDefault="005473A2" w:rsidP="005473A2">
      <w:r>
        <w:t xml:space="preserve">The scheme interacts with other national and state </w:t>
      </w:r>
      <w:r w:rsidR="00611221">
        <w:t xml:space="preserve">regulatory </w:t>
      </w:r>
      <w:r>
        <w:t xml:space="preserve">schemes. We understand our roles and relationships. </w:t>
      </w:r>
      <w:r w:rsidR="00E25849">
        <w:t>Where possible, we harness opportunities to achieve mutual outcomes</w:t>
      </w:r>
      <w:r w:rsidR="00611221">
        <w:t xml:space="preserve"> for the objectives of coregulators and to streamline requirements for the regulated community</w:t>
      </w:r>
      <w:r w:rsidR="00E25849">
        <w:t>.</w:t>
      </w:r>
    </w:p>
    <w:p w14:paraId="7876F867" w14:textId="2B2EAB8E" w:rsidR="000020C3" w:rsidRDefault="000020C3" w:rsidP="000020C3">
      <w:r>
        <w:t xml:space="preserve">In </w:t>
      </w:r>
      <w:r w:rsidR="00A14A83">
        <w:t xml:space="preserve">administering </w:t>
      </w:r>
      <w:r>
        <w:t>the scheme, we work with</w:t>
      </w:r>
      <w:r w:rsidR="006B35CD">
        <w:t xml:space="preserve"> </w:t>
      </w:r>
      <w:r>
        <w:t>state and territory co-regulators</w:t>
      </w:r>
      <w:r w:rsidR="00611221">
        <w:t>,</w:t>
      </w:r>
      <w:r w:rsidR="00A14A83">
        <w:t xml:space="preserve"> the</w:t>
      </w:r>
      <w:r>
        <w:t xml:space="preserve"> </w:t>
      </w:r>
      <w:r w:rsidR="006B35CD">
        <w:t xml:space="preserve">Commonwealth </w:t>
      </w:r>
      <w:proofErr w:type="gramStart"/>
      <w:r>
        <w:t>WaterMark</w:t>
      </w:r>
      <w:proofErr w:type="gramEnd"/>
      <w:r>
        <w:t xml:space="preserve"> and </w:t>
      </w:r>
      <w:r w:rsidR="00CE3074">
        <w:t>Equipment Energy Efficiency (E3) program</w:t>
      </w:r>
      <w:r>
        <w:t xml:space="preserve"> administrators,</w:t>
      </w:r>
      <w:r w:rsidR="00A14A83">
        <w:t xml:space="preserve"> </w:t>
      </w:r>
      <w:r w:rsidR="00611221">
        <w:t xml:space="preserve">the </w:t>
      </w:r>
      <w:r w:rsidR="00A14A83">
        <w:t xml:space="preserve">New Zealand Government, </w:t>
      </w:r>
      <w:r>
        <w:t>e</w:t>
      </w:r>
      <w:r w:rsidR="00494C91">
        <w:t>-</w:t>
      </w:r>
      <w:r>
        <w:t xml:space="preserve">commerce platform providers, industry members and associations, consumer organisations and regulated entities. The regulated business sectors include product registrants, manufacturers, </w:t>
      </w:r>
      <w:r w:rsidR="00443E23">
        <w:t>importers,</w:t>
      </w:r>
      <w:r>
        <w:t xml:space="preserve"> and suppliers – including on-line sellers, retailers, wholesalers, builders, </w:t>
      </w:r>
      <w:r w:rsidR="009C0A44">
        <w:t>plumbers,</w:t>
      </w:r>
      <w:r>
        <w:t xml:space="preserve"> and developers.</w:t>
      </w:r>
    </w:p>
    <w:p w14:paraId="37E5EEED" w14:textId="0DA03ACB" w:rsidR="005473A2" w:rsidRDefault="00611221" w:rsidP="0003539E">
      <w:pPr>
        <w:pStyle w:val="Heading4"/>
      </w:pPr>
      <w:r>
        <w:t xml:space="preserve">E3 program </w:t>
      </w:r>
    </w:p>
    <w:p w14:paraId="2D61AD30" w14:textId="0A4C9F42" w:rsidR="000020C3" w:rsidRDefault="00D34EEA" w:rsidP="00CC415C">
      <w:pPr>
        <w:ind w:left="1276"/>
      </w:pPr>
      <w:r w:rsidRPr="00D34EEA">
        <w:rPr>
          <w:noProof/>
        </w:rPr>
        <w:drawing>
          <wp:anchor distT="0" distB="0" distL="114300" distR="114300" simplePos="0" relativeHeight="251658240" behindDoc="1" locked="0" layoutInCell="1" allowOverlap="1" wp14:anchorId="237218FC" wp14:editId="7F178CB1">
            <wp:simplePos x="0" y="0"/>
            <wp:positionH relativeFrom="margin">
              <wp:posOffset>-4445</wp:posOffset>
            </wp:positionH>
            <wp:positionV relativeFrom="paragraph">
              <wp:posOffset>66040</wp:posOffset>
            </wp:positionV>
            <wp:extent cx="541020" cy="788035"/>
            <wp:effectExtent l="0" t="0" r="0" b="0"/>
            <wp:wrapTight wrapText="bothSides">
              <wp:wrapPolygon edited="0">
                <wp:start x="0" y="0"/>
                <wp:lineTo x="0" y="20886"/>
                <wp:lineTo x="20535" y="20886"/>
                <wp:lineTo x="20535" y="0"/>
                <wp:lineTo x="0" y="0"/>
              </wp:wrapPolygon>
            </wp:wrapTight>
            <wp:docPr id="32" name="Picture 31" descr="Text&#10;&#10;Description automatically generated with medium confidence">
              <a:extLst xmlns:a="http://schemas.openxmlformats.org/drawingml/2006/main">
                <a:ext uri="{FF2B5EF4-FFF2-40B4-BE49-F238E27FC236}">
                  <a16:creationId xmlns:a16="http://schemas.microsoft.com/office/drawing/2014/main" id="{3FA02ED6-1673-442E-B49C-467C685D3848}"/>
                </a:ext>
              </a:extLst>
            </wp:docPr>
            <wp:cNvGraphicFramePr/>
            <a:graphic xmlns:a="http://schemas.openxmlformats.org/drawingml/2006/main">
              <a:graphicData uri="http://schemas.openxmlformats.org/drawingml/2006/picture">
                <pic:pic xmlns:pic="http://schemas.openxmlformats.org/drawingml/2006/picture">
                  <pic:nvPicPr>
                    <pic:cNvPr id="32" name="Picture 31" descr="Text&#10;&#10;Description automatically generated with medium confidence">
                      <a:extLst>
                        <a:ext uri="{FF2B5EF4-FFF2-40B4-BE49-F238E27FC236}">
                          <a16:creationId xmlns:a16="http://schemas.microsoft.com/office/drawing/2014/main" id="{3FA02ED6-1673-442E-B49C-467C685D3848}"/>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41020" cy="788035"/>
                    </a:xfrm>
                    <a:prstGeom prst="rect">
                      <a:avLst/>
                    </a:prstGeom>
                  </pic:spPr>
                </pic:pic>
              </a:graphicData>
            </a:graphic>
            <wp14:sizeRelH relativeFrom="page">
              <wp14:pctWidth>0</wp14:pctWidth>
            </wp14:sizeRelH>
            <wp14:sizeRelV relativeFrom="page">
              <wp14:pctHeight>0</wp14:pctHeight>
            </wp14:sizeRelV>
          </wp:anchor>
        </w:drawing>
      </w:r>
      <w:r w:rsidR="000020C3">
        <w:t xml:space="preserve">The E3 program is administered by </w:t>
      </w:r>
      <w:r w:rsidR="000020C3" w:rsidRPr="00B37C19">
        <w:t xml:space="preserve">the Department </w:t>
      </w:r>
      <w:r w:rsidR="00A634FD">
        <w:t>Climate Change, Energy, the Environment and Water</w:t>
      </w:r>
      <w:r w:rsidR="000020C3" w:rsidRPr="00B37C19">
        <w:t>.</w:t>
      </w:r>
      <w:r w:rsidR="000020C3">
        <w:t xml:space="preserve"> The E3 program is underpinned by the </w:t>
      </w:r>
      <w:r w:rsidR="000020C3" w:rsidRPr="00310FA0">
        <w:rPr>
          <w:rStyle w:val="Emphasis"/>
        </w:rPr>
        <w:t>Greenhouse and Energy Minimum Standards Act 2012</w:t>
      </w:r>
      <w:r w:rsidR="000020C3">
        <w:t>, which is administered by the GEMS Regulator.</w:t>
      </w:r>
    </w:p>
    <w:p w14:paraId="39DD3EE9" w14:textId="7CC74D80" w:rsidR="005473A2" w:rsidRDefault="000020C3" w:rsidP="00CE3074">
      <w:pPr>
        <w:ind w:left="1276"/>
      </w:pPr>
      <w:r>
        <w:t>C</w:t>
      </w:r>
      <w:r w:rsidR="005473A2">
        <w:t>lothes washing machines and dishwashers regulated under the</w:t>
      </w:r>
      <w:r w:rsidR="00C44D7C">
        <w:t xml:space="preserve"> </w:t>
      </w:r>
      <w:r w:rsidR="00A634FD">
        <w:t xml:space="preserve">WELS </w:t>
      </w:r>
      <w:r w:rsidR="005473A2">
        <w:t>scheme must be registered by the GEMS Regulator and comply with relevant energy labelling requirements.</w:t>
      </w:r>
    </w:p>
    <w:p w14:paraId="04F51D11" w14:textId="2AD6DE14" w:rsidR="00E135B2" w:rsidRDefault="00E135B2" w:rsidP="00565C7A">
      <w:pPr>
        <w:ind w:left="1276"/>
      </w:pPr>
      <w:r>
        <w:t>Further information is available at: www.energyrating.gov.au</w:t>
      </w:r>
    </w:p>
    <w:p w14:paraId="6CC922CA" w14:textId="77777777" w:rsidR="000020C3" w:rsidRDefault="000020C3" w:rsidP="000020C3">
      <w:pPr>
        <w:pStyle w:val="Heading4"/>
      </w:pPr>
      <w:r>
        <w:t>WaterMark</w:t>
      </w:r>
    </w:p>
    <w:p w14:paraId="45BDD540" w14:textId="1405A81D" w:rsidR="000020C3" w:rsidRDefault="00D34EEA" w:rsidP="00CC415C">
      <w:pPr>
        <w:ind w:left="1276" w:hanging="1276"/>
      </w:pPr>
      <w:r w:rsidRPr="00D34EEA">
        <w:rPr>
          <w:noProof/>
        </w:rPr>
        <w:drawing>
          <wp:anchor distT="0" distB="0" distL="114300" distR="114300" simplePos="0" relativeHeight="251659264" behindDoc="0" locked="0" layoutInCell="1" allowOverlap="1" wp14:anchorId="7D1214D3" wp14:editId="062C7CC6">
            <wp:simplePos x="0" y="0"/>
            <wp:positionH relativeFrom="column">
              <wp:posOffset>1905</wp:posOffset>
            </wp:positionH>
            <wp:positionV relativeFrom="paragraph">
              <wp:posOffset>2841</wp:posOffset>
            </wp:positionV>
            <wp:extent cx="689239" cy="602759"/>
            <wp:effectExtent l="0" t="0" r="0" b="6985"/>
            <wp:wrapSquare wrapText="bothSides"/>
            <wp:docPr id="26" name="Picture 1" descr="Logo, company name&#10;&#10;Description automatically generated">
              <a:extLst xmlns:a="http://schemas.openxmlformats.org/drawingml/2006/main">
                <a:ext uri="{FF2B5EF4-FFF2-40B4-BE49-F238E27FC236}">
                  <a16:creationId xmlns:a16="http://schemas.microsoft.com/office/drawing/2014/main" id="{E75CC736-DD52-479D-8B8B-C4939879C0A2}"/>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Picture 1" descr="Logo, company name&#10;&#10;Description automatically generated">
                      <a:extLst>
                        <a:ext uri="{FF2B5EF4-FFF2-40B4-BE49-F238E27FC236}">
                          <a16:creationId xmlns:a16="http://schemas.microsoft.com/office/drawing/2014/main" id="{E75CC736-DD52-479D-8B8B-C4939879C0A2}"/>
                        </a:ext>
                      </a:extLst>
                    </pic:cNvPr>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89239" cy="602759"/>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C415C">
        <w:t xml:space="preserve">The </w:t>
      </w:r>
      <w:r w:rsidR="000020C3">
        <w:t xml:space="preserve">WaterMark </w:t>
      </w:r>
      <w:r w:rsidR="0066151F">
        <w:t>s</w:t>
      </w:r>
      <w:r w:rsidR="000020C3">
        <w:t xml:space="preserve">cheme is administered by the Australian Building Codes Board. Plumbing products regulated under the </w:t>
      </w:r>
      <w:r w:rsidR="00A634FD">
        <w:t xml:space="preserve">WELS </w:t>
      </w:r>
      <w:r w:rsidR="000020C3">
        <w:t xml:space="preserve">scheme must have valid WaterMark certification </w:t>
      </w:r>
      <w:r w:rsidR="00A634FD">
        <w:t>for installation in a plumbing and drainage system</w:t>
      </w:r>
      <w:r w:rsidR="000020C3">
        <w:t xml:space="preserve">. </w:t>
      </w:r>
      <w:r w:rsidR="00547C6C" w:rsidRPr="00547C6C">
        <w:t>S</w:t>
      </w:r>
      <w:r w:rsidR="00547C6C">
        <w:t xml:space="preserve">tate and </w:t>
      </w:r>
      <w:r w:rsidR="00802E0D" w:rsidRPr="00547C6C">
        <w:t>T</w:t>
      </w:r>
      <w:r w:rsidR="00802E0D">
        <w:t>erritory</w:t>
      </w:r>
      <w:r w:rsidR="00802E0D" w:rsidRPr="00547C6C">
        <w:t xml:space="preserve"> building</w:t>
      </w:r>
      <w:r w:rsidR="00547C6C" w:rsidRPr="00547C6C">
        <w:t xml:space="preserve"> regulations enforc</w:t>
      </w:r>
      <w:r w:rsidR="00547C6C">
        <w:t>e</w:t>
      </w:r>
      <w:r w:rsidR="00547C6C" w:rsidRPr="00547C6C">
        <w:t xml:space="preserve"> the minimum water efficiency of products installed</w:t>
      </w:r>
      <w:r w:rsidR="00CC415C">
        <w:t>, except in Queensland where WaterMark is enforced at point of sale.</w:t>
      </w:r>
    </w:p>
    <w:p w14:paraId="2A14184F" w14:textId="5E0E8CB4" w:rsidR="00E135B2" w:rsidRDefault="00E135B2" w:rsidP="00565C7A">
      <w:pPr>
        <w:ind w:left="1276" w:hanging="1276"/>
      </w:pPr>
      <w:r>
        <w:tab/>
        <w:t>Further information is available at: watermark.abcb.gov.au</w:t>
      </w:r>
    </w:p>
    <w:p w14:paraId="152A8B3C" w14:textId="4A09C9C4" w:rsidR="00697C9E" w:rsidRPr="00395433" w:rsidRDefault="00BD538D" w:rsidP="0003539E">
      <w:pPr>
        <w:pStyle w:val="Heading2"/>
        <w:pageBreakBefore w:val="0"/>
        <w:spacing w:before="240"/>
        <w:rPr>
          <w:rStyle w:val="Heading2Char"/>
          <w:bCs/>
        </w:rPr>
      </w:pPr>
      <w:bookmarkStart w:id="23" w:name="_Toc117609180"/>
      <w:bookmarkEnd w:id="17"/>
      <w:r w:rsidRPr="00EC2F24">
        <w:rPr>
          <w:rStyle w:val="Heading2Char"/>
        </w:rPr>
        <w:t>Compliance</w:t>
      </w:r>
      <w:r w:rsidRPr="00395433">
        <w:rPr>
          <w:rStyle w:val="Heading2Char"/>
          <w:bCs/>
        </w:rPr>
        <w:t xml:space="preserve"> </w:t>
      </w:r>
      <w:r w:rsidR="004D1E7F">
        <w:rPr>
          <w:rStyle w:val="Heading2Char"/>
          <w:bCs/>
        </w:rPr>
        <w:t>and enforcement objectives and principles</w:t>
      </w:r>
      <w:bookmarkEnd w:id="23"/>
    </w:p>
    <w:p w14:paraId="09443E80" w14:textId="15033BBF" w:rsidR="000D796F" w:rsidRDefault="00D15851" w:rsidP="00697C9E">
      <w:r>
        <w:lastRenderedPageBreak/>
        <w:t xml:space="preserve">Compliance </w:t>
      </w:r>
      <w:r w:rsidR="00671237">
        <w:t xml:space="preserve">with </w:t>
      </w:r>
      <w:r w:rsidR="00B37C19">
        <w:t>the</w:t>
      </w:r>
      <w:r w:rsidR="00671237">
        <w:t xml:space="preserve"> </w:t>
      </w:r>
      <w:r w:rsidR="0066151F">
        <w:t>s</w:t>
      </w:r>
      <w:r w:rsidR="00671237">
        <w:t>cheme</w:t>
      </w:r>
      <w:r>
        <w:t xml:space="preserve"> is critical </w:t>
      </w:r>
      <w:r w:rsidR="00B37C19">
        <w:t>for</w:t>
      </w:r>
      <w:r>
        <w:t xml:space="preserve"> reducing the demand </w:t>
      </w:r>
      <w:r w:rsidR="00B37C19">
        <w:t>on</w:t>
      </w:r>
      <w:r>
        <w:t xml:space="preserve"> </w:t>
      </w:r>
      <w:r w:rsidR="000D796F">
        <w:t xml:space="preserve">our </w:t>
      </w:r>
      <w:r>
        <w:t>water</w:t>
      </w:r>
      <w:r w:rsidR="000D796F">
        <w:t xml:space="preserve"> resources</w:t>
      </w:r>
      <w:r w:rsidR="001F1E4A">
        <w:t xml:space="preserve"> and build</w:t>
      </w:r>
      <w:r w:rsidR="00671237">
        <w:t>ing</w:t>
      </w:r>
      <w:r w:rsidR="001F1E4A">
        <w:t xml:space="preserve"> confidence </w:t>
      </w:r>
      <w:r w:rsidR="00671237">
        <w:t>in</w:t>
      </w:r>
      <w:r w:rsidR="001F1E4A">
        <w:t xml:space="preserve"> </w:t>
      </w:r>
      <w:r w:rsidR="00671237">
        <w:t xml:space="preserve">the </w:t>
      </w:r>
      <w:r w:rsidR="00AD5CAC">
        <w:t xml:space="preserve">regulatory effectiveness of the WELS label and the </w:t>
      </w:r>
      <w:r w:rsidR="0066151F">
        <w:t>s</w:t>
      </w:r>
      <w:r w:rsidR="00671237">
        <w:t>cheme</w:t>
      </w:r>
      <w:r w:rsidR="005110D5">
        <w:t>.</w:t>
      </w:r>
      <w:r w:rsidR="00671237">
        <w:t xml:space="preserve"> </w:t>
      </w:r>
      <w:r w:rsidR="005110D5">
        <w:t>It</w:t>
      </w:r>
      <w:r w:rsidR="008755E5">
        <w:t xml:space="preserve"> ensur</w:t>
      </w:r>
      <w:r w:rsidR="005110D5">
        <w:t>es</w:t>
      </w:r>
      <w:r w:rsidR="008755E5">
        <w:t xml:space="preserve"> </w:t>
      </w:r>
      <w:r w:rsidR="00671237">
        <w:t>c</w:t>
      </w:r>
      <w:r w:rsidR="001F1E4A">
        <w:t xml:space="preserve">onsumers, businesses and governments are fulfilling their obligations in </w:t>
      </w:r>
      <w:r w:rsidR="00B37C19">
        <w:t xml:space="preserve">the practice of </w:t>
      </w:r>
      <w:r w:rsidR="001F1E4A">
        <w:t>sustainable water management.</w:t>
      </w:r>
    </w:p>
    <w:p w14:paraId="2885B384" w14:textId="3E641362" w:rsidR="00671237" w:rsidRDefault="00671237" w:rsidP="00697C9E">
      <w:r>
        <w:t>W</w:t>
      </w:r>
      <w:r w:rsidR="000D796F">
        <w:t xml:space="preserve">e </w:t>
      </w:r>
      <w:r w:rsidR="004D1E7F">
        <w:t xml:space="preserve">aim to </w:t>
      </w:r>
      <w:r w:rsidR="000D796F">
        <w:t xml:space="preserve">ensure </w:t>
      </w:r>
      <w:r>
        <w:t xml:space="preserve">that </w:t>
      </w:r>
      <w:r w:rsidR="003F3DCE" w:rsidRPr="003F3DCE">
        <w:t xml:space="preserve">only WELS registered products are available to consumers at the point of </w:t>
      </w:r>
      <w:r w:rsidR="00632282">
        <w:t>sale,</w:t>
      </w:r>
      <w:r w:rsidR="00895821">
        <w:t xml:space="preserve"> so that</w:t>
      </w:r>
      <w:r w:rsidR="003F3DCE">
        <w:t>:</w:t>
      </w:r>
    </w:p>
    <w:p w14:paraId="30A841EA" w14:textId="40F6781E" w:rsidR="00671237" w:rsidRDefault="0093692D" w:rsidP="00671237">
      <w:pPr>
        <w:pStyle w:val="ListParagraph"/>
        <w:numPr>
          <w:ilvl w:val="0"/>
          <w:numId w:val="36"/>
        </w:numPr>
      </w:pPr>
      <w:r>
        <w:t xml:space="preserve">consumers </w:t>
      </w:r>
      <w:r w:rsidR="00802E0D">
        <w:t xml:space="preserve">can </w:t>
      </w:r>
      <w:r w:rsidR="000D796F">
        <w:t xml:space="preserve">make an </w:t>
      </w:r>
      <w:r w:rsidR="000D796F" w:rsidRPr="00B37C19">
        <w:t>informed choice</w:t>
      </w:r>
      <w:r w:rsidR="000D796F">
        <w:t xml:space="preserve"> relating to the water efficiency </w:t>
      </w:r>
      <w:r w:rsidR="00671237">
        <w:t>of the products they purchase</w:t>
      </w:r>
    </w:p>
    <w:p w14:paraId="14978873" w14:textId="19E35897" w:rsidR="00A14A83" w:rsidRDefault="00895821" w:rsidP="00671237">
      <w:pPr>
        <w:pStyle w:val="ListParagraph"/>
        <w:numPr>
          <w:ilvl w:val="0"/>
          <w:numId w:val="36"/>
        </w:numPr>
      </w:pPr>
      <w:r>
        <w:t xml:space="preserve">consumers </w:t>
      </w:r>
      <w:r w:rsidR="00A14A83">
        <w:t>are encouraged to or are required to consider more efficient products</w:t>
      </w:r>
    </w:p>
    <w:p w14:paraId="50941F12" w14:textId="66E02679" w:rsidR="00632282" w:rsidRDefault="00895821" w:rsidP="0003539E">
      <w:pPr>
        <w:pStyle w:val="ListParagraph"/>
        <w:numPr>
          <w:ilvl w:val="0"/>
          <w:numId w:val="36"/>
        </w:numPr>
      </w:pPr>
      <w:r>
        <w:t xml:space="preserve">consumers </w:t>
      </w:r>
      <w:r w:rsidR="00802E0D">
        <w:t xml:space="preserve">can </w:t>
      </w:r>
      <w:r w:rsidR="000D796F">
        <w:t>reduce water use and save money on water and energy bills</w:t>
      </w:r>
    </w:p>
    <w:p w14:paraId="7186BDCA" w14:textId="21A66BDF" w:rsidR="0093692D" w:rsidRDefault="00895821" w:rsidP="00632282">
      <w:pPr>
        <w:pStyle w:val="ListParagraph"/>
        <w:numPr>
          <w:ilvl w:val="0"/>
          <w:numId w:val="36"/>
        </w:numPr>
      </w:pPr>
      <w:r>
        <w:t xml:space="preserve">consumers and builders </w:t>
      </w:r>
      <w:r w:rsidR="00632282">
        <w:t xml:space="preserve">can meet state and territory regulatory </w:t>
      </w:r>
      <w:r w:rsidR="003E32BC">
        <w:t xml:space="preserve">minimum water efficiency </w:t>
      </w:r>
      <w:r w:rsidR="00632282">
        <w:t xml:space="preserve">requirements </w:t>
      </w:r>
      <w:r w:rsidR="003E32BC">
        <w:t>for</w:t>
      </w:r>
      <w:r w:rsidR="00632282">
        <w:t xml:space="preserve"> plumbing installation and </w:t>
      </w:r>
      <w:r w:rsidR="003E32BC">
        <w:t xml:space="preserve">under </w:t>
      </w:r>
      <w:r w:rsidR="00632282">
        <w:t>tenancy laws</w:t>
      </w:r>
    </w:p>
    <w:p w14:paraId="3AE931C2" w14:textId="3F2B92BE" w:rsidR="00895821" w:rsidRDefault="0093692D" w:rsidP="00895821">
      <w:pPr>
        <w:pStyle w:val="ListParagraph"/>
        <w:numPr>
          <w:ilvl w:val="0"/>
          <w:numId w:val="36"/>
        </w:numPr>
      </w:pPr>
      <w:r>
        <w:t>water demand management programs of governments and utilities that rely on swapping or upgrading to more water efficient products</w:t>
      </w:r>
      <w:r w:rsidR="003E32BC" w:rsidRPr="003E32BC">
        <w:t xml:space="preserve"> </w:t>
      </w:r>
      <w:r w:rsidR="003E32BC">
        <w:t>are enabled</w:t>
      </w:r>
    </w:p>
    <w:p w14:paraId="4A495927" w14:textId="3BA75BD6" w:rsidR="00632282" w:rsidRDefault="00895821" w:rsidP="00895821">
      <w:pPr>
        <w:pStyle w:val="ListParagraph"/>
        <w:numPr>
          <w:ilvl w:val="0"/>
          <w:numId w:val="36"/>
        </w:numPr>
      </w:pPr>
      <w:r>
        <w:t>water efficiency targets in sustainable building rating schemes can be met by sourcing rated products.</w:t>
      </w:r>
    </w:p>
    <w:p w14:paraId="60363B0C" w14:textId="71CCF041" w:rsidR="004D1E7F" w:rsidRDefault="004D1E7F" w:rsidP="0003539E">
      <w:pPr>
        <w:pStyle w:val="Heading3"/>
      </w:pPr>
      <w:bookmarkStart w:id="24" w:name="_Toc117609181"/>
      <w:r>
        <w:t>Objectives</w:t>
      </w:r>
      <w:bookmarkEnd w:id="24"/>
    </w:p>
    <w:p w14:paraId="21A0A6B6" w14:textId="4B111930" w:rsidR="004D1E7F" w:rsidRDefault="004D1E7F" w:rsidP="00697C9E">
      <w:r>
        <w:t xml:space="preserve">The </w:t>
      </w:r>
      <w:r w:rsidR="001F1E4A">
        <w:t xml:space="preserve">WELS compliance </w:t>
      </w:r>
      <w:r>
        <w:t>and enforcement objectives are to:</w:t>
      </w:r>
    </w:p>
    <w:p w14:paraId="3FBFE6D7" w14:textId="461B76AB" w:rsidR="0020589E" w:rsidRDefault="005110D5" w:rsidP="004D1E7F">
      <w:pPr>
        <w:pStyle w:val="ListParagraph"/>
        <w:numPr>
          <w:ilvl w:val="0"/>
          <w:numId w:val="34"/>
        </w:numPr>
      </w:pPr>
      <w:r>
        <w:t>e</w:t>
      </w:r>
      <w:r w:rsidR="001F1E4A">
        <w:t xml:space="preserve">ngage, </w:t>
      </w:r>
      <w:r w:rsidR="00643140">
        <w:t>communicate,</w:t>
      </w:r>
      <w:r w:rsidR="001F1E4A">
        <w:t xml:space="preserve"> and educate </w:t>
      </w:r>
      <w:r w:rsidR="006B35CD">
        <w:t xml:space="preserve">product </w:t>
      </w:r>
      <w:r w:rsidR="001F1E4A">
        <w:t xml:space="preserve">registrants, </w:t>
      </w:r>
      <w:proofErr w:type="gramStart"/>
      <w:r w:rsidR="00643140">
        <w:t>manufacturers</w:t>
      </w:r>
      <w:proofErr w:type="gramEnd"/>
      <w:r w:rsidR="001F1E4A">
        <w:t xml:space="preserve"> and suppliers on the WELS requirements under Australian law</w:t>
      </w:r>
    </w:p>
    <w:p w14:paraId="5CB83B27" w14:textId="26A456FD" w:rsidR="005473A2" w:rsidRDefault="005110D5" w:rsidP="004D1E7F">
      <w:pPr>
        <w:pStyle w:val="ListParagraph"/>
        <w:numPr>
          <w:ilvl w:val="0"/>
          <w:numId w:val="34"/>
        </w:numPr>
      </w:pPr>
      <w:r>
        <w:t>w</w:t>
      </w:r>
      <w:r w:rsidR="005473A2">
        <w:t xml:space="preserve">ork with Commonwealth and state and territory </w:t>
      </w:r>
      <w:r w:rsidR="006B35CD">
        <w:t>co</w:t>
      </w:r>
      <w:r w:rsidR="005473A2">
        <w:t xml:space="preserve">regulators to support </w:t>
      </w:r>
      <w:r w:rsidR="00643140">
        <w:t>the</w:t>
      </w:r>
      <w:r w:rsidR="005473A2">
        <w:t xml:space="preserve"> </w:t>
      </w:r>
      <w:r w:rsidR="0066151F">
        <w:t>s</w:t>
      </w:r>
      <w:r w:rsidR="005473A2">
        <w:t>cheme and related programs</w:t>
      </w:r>
    </w:p>
    <w:p w14:paraId="241C3BDC" w14:textId="09A9EBB9" w:rsidR="005473A2" w:rsidRDefault="005110D5" w:rsidP="003F3DCE">
      <w:pPr>
        <w:pStyle w:val="ListParagraph"/>
        <w:numPr>
          <w:ilvl w:val="0"/>
          <w:numId w:val="34"/>
        </w:numPr>
      </w:pPr>
      <w:r>
        <w:t>e</w:t>
      </w:r>
      <w:r w:rsidR="00643140">
        <w:t>n</w:t>
      </w:r>
      <w:r w:rsidR="005473A2">
        <w:t>sure product</w:t>
      </w:r>
      <w:r w:rsidR="006B35CD">
        <w:t xml:space="preserve"> registration</w:t>
      </w:r>
      <w:r w:rsidR="005473A2">
        <w:t xml:space="preserve"> compliance through the registration system </w:t>
      </w:r>
      <w:r w:rsidR="006B35CD">
        <w:t>and processes</w:t>
      </w:r>
    </w:p>
    <w:p w14:paraId="01C8B10C" w14:textId="56C4DA71" w:rsidR="000020C3" w:rsidRDefault="005110D5" w:rsidP="003F3DCE">
      <w:pPr>
        <w:pStyle w:val="ListParagraph"/>
        <w:numPr>
          <w:ilvl w:val="0"/>
          <w:numId w:val="34"/>
        </w:numPr>
      </w:pPr>
      <w:r>
        <w:t>m</w:t>
      </w:r>
      <w:r w:rsidR="003F3DCE">
        <w:t xml:space="preserve">onitor </w:t>
      </w:r>
      <w:r w:rsidR="000020C3">
        <w:t>compliance and detect non-</w:t>
      </w:r>
      <w:r w:rsidR="003F3DCE">
        <w:t xml:space="preserve">compliance </w:t>
      </w:r>
    </w:p>
    <w:p w14:paraId="23BDB4CF" w14:textId="58FD10C5" w:rsidR="003F3DCE" w:rsidRDefault="005110D5" w:rsidP="004D1E7F">
      <w:pPr>
        <w:pStyle w:val="ListParagraph"/>
        <w:numPr>
          <w:ilvl w:val="0"/>
          <w:numId w:val="34"/>
        </w:numPr>
      </w:pPr>
      <w:r>
        <w:t>s</w:t>
      </w:r>
      <w:r w:rsidR="003F3DCE">
        <w:t>upport voluntary compliance and positive actions to remedy inadvertent minor non</w:t>
      </w:r>
      <w:r w:rsidR="003F3DCE">
        <w:noBreakHyphen/>
        <w:t>compliance</w:t>
      </w:r>
    </w:p>
    <w:p w14:paraId="58909279" w14:textId="7F7928BC" w:rsidR="000020C3" w:rsidRDefault="005110D5" w:rsidP="000020C3">
      <w:pPr>
        <w:pStyle w:val="ListParagraph"/>
        <w:numPr>
          <w:ilvl w:val="0"/>
          <w:numId w:val="34"/>
        </w:numPr>
      </w:pPr>
      <w:r>
        <w:t>r</w:t>
      </w:r>
      <w:r w:rsidR="000020C3">
        <w:t xml:space="preserve">espond to non-compliance through audit and investigation </w:t>
      </w:r>
    </w:p>
    <w:p w14:paraId="400B0E6F" w14:textId="661CA5F6" w:rsidR="001F1E4A" w:rsidRDefault="005110D5">
      <w:pPr>
        <w:pStyle w:val="ListParagraph"/>
        <w:numPr>
          <w:ilvl w:val="0"/>
          <w:numId w:val="34"/>
        </w:numPr>
      </w:pPr>
      <w:r>
        <w:t>u</w:t>
      </w:r>
      <w:r w:rsidR="004D1E7F">
        <w:t>s</w:t>
      </w:r>
      <w:r w:rsidR="005473A2">
        <w:t xml:space="preserve">e escalated response </w:t>
      </w:r>
      <w:r w:rsidR="00EB1105">
        <w:t>measures</w:t>
      </w:r>
      <w:r w:rsidR="004D1E7F">
        <w:t xml:space="preserve"> </w:t>
      </w:r>
      <w:r w:rsidR="005473A2">
        <w:t xml:space="preserve">and </w:t>
      </w:r>
      <w:r w:rsidR="004D1E7F">
        <w:t xml:space="preserve">enforcement powers </w:t>
      </w:r>
      <w:r w:rsidR="005473A2">
        <w:t>to correct repeated</w:t>
      </w:r>
      <w:r w:rsidR="004D1E7F">
        <w:t xml:space="preserve"> </w:t>
      </w:r>
      <w:r w:rsidR="005473A2">
        <w:t xml:space="preserve">and serious </w:t>
      </w:r>
      <w:r w:rsidR="004D1E7F">
        <w:t>non-compliance</w:t>
      </w:r>
      <w:r w:rsidR="000020C3">
        <w:t>.</w:t>
      </w:r>
    </w:p>
    <w:p w14:paraId="1C3568B2" w14:textId="77777777" w:rsidR="00697C9E" w:rsidRDefault="00BD538D" w:rsidP="0003539E">
      <w:pPr>
        <w:pStyle w:val="Heading3"/>
      </w:pPr>
      <w:bookmarkStart w:id="25" w:name="_Toc106783575"/>
      <w:bookmarkStart w:id="26" w:name="_Toc106783576"/>
      <w:bookmarkStart w:id="27" w:name="_Toc106783577"/>
      <w:bookmarkStart w:id="28" w:name="_Toc106783578"/>
      <w:bookmarkStart w:id="29" w:name="_Toc106783579"/>
      <w:bookmarkStart w:id="30" w:name="_Toc117609182"/>
      <w:bookmarkEnd w:id="25"/>
      <w:bookmarkEnd w:id="26"/>
      <w:bookmarkEnd w:id="27"/>
      <w:bookmarkEnd w:id="28"/>
      <w:bookmarkEnd w:id="29"/>
      <w:r>
        <w:t>Principles</w:t>
      </w:r>
      <w:bookmarkEnd w:id="30"/>
    </w:p>
    <w:p w14:paraId="47FE3BEC" w14:textId="0D6E8F87" w:rsidR="00697C9E" w:rsidRDefault="008743C5" w:rsidP="00697C9E">
      <w:r>
        <w:t xml:space="preserve">The </w:t>
      </w:r>
      <w:r w:rsidR="006F0C29">
        <w:t>WELS</w:t>
      </w:r>
      <w:r w:rsidR="006B35CD">
        <w:t xml:space="preserve"> Regulator</w:t>
      </w:r>
      <w:r w:rsidR="006F0C29">
        <w:t xml:space="preserve"> compliance and enforcement functions </w:t>
      </w:r>
      <w:r w:rsidR="0038591F">
        <w:t xml:space="preserve">will be undertaken </w:t>
      </w:r>
      <w:r w:rsidR="006F0C29">
        <w:t xml:space="preserve">in accordance with the </w:t>
      </w:r>
      <w:r w:rsidR="008F0D27">
        <w:t>following</w:t>
      </w:r>
      <w:r w:rsidR="006F0C29">
        <w:t xml:space="preserve"> principles</w:t>
      </w:r>
      <w:r w:rsidR="008F0D27">
        <w:t>:</w:t>
      </w:r>
    </w:p>
    <w:p w14:paraId="4DBE0A7D" w14:textId="28B3068A" w:rsidR="00697C9E" w:rsidRDefault="008F0D27" w:rsidP="008F0D27">
      <w:pPr>
        <w:pStyle w:val="ListParagraph"/>
        <w:numPr>
          <w:ilvl w:val="0"/>
          <w:numId w:val="38"/>
        </w:numPr>
      </w:pPr>
      <w:r w:rsidRPr="0003539E">
        <w:rPr>
          <w:b/>
          <w:bCs/>
        </w:rPr>
        <w:t>Targeted</w:t>
      </w:r>
      <w:r>
        <w:t xml:space="preserve"> – our compliance activities will focus on those </w:t>
      </w:r>
      <w:r w:rsidR="006B35CD">
        <w:t xml:space="preserve">entities </w:t>
      </w:r>
      <w:r>
        <w:t xml:space="preserve">who pose the greatest risk to achieving </w:t>
      </w:r>
      <w:r w:rsidR="005D6D14">
        <w:t>the</w:t>
      </w:r>
      <w:r>
        <w:t xml:space="preserve"> </w:t>
      </w:r>
      <w:r w:rsidR="0066151F">
        <w:t>s</w:t>
      </w:r>
      <w:r>
        <w:t>cheme</w:t>
      </w:r>
      <w:r w:rsidR="006B35CD">
        <w:t>’s</w:t>
      </w:r>
      <w:r>
        <w:t xml:space="preserve"> objectives</w:t>
      </w:r>
      <w:r w:rsidR="00643140">
        <w:t>.</w:t>
      </w:r>
    </w:p>
    <w:p w14:paraId="039C8AB1" w14:textId="7417BD55" w:rsidR="008F0D27" w:rsidRDefault="008F0D27" w:rsidP="008F0D27">
      <w:pPr>
        <w:pStyle w:val="ListParagraph"/>
        <w:numPr>
          <w:ilvl w:val="0"/>
          <w:numId w:val="38"/>
        </w:numPr>
      </w:pPr>
      <w:r w:rsidRPr="0003539E">
        <w:rPr>
          <w:b/>
          <w:bCs/>
        </w:rPr>
        <w:t>Proportionate</w:t>
      </w:r>
      <w:r>
        <w:t xml:space="preserve"> - </w:t>
      </w:r>
      <w:r w:rsidR="00D05086">
        <w:t>o</w:t>
      </w:r>
      <w:r>
        <w:t xml:space="preserve">ur response and enforcement actions will be </w:t>
      </w:r>
      <w:r w:rsidR="00333FA0">
        <w:t>evidence</w:t>
      </w:r>
      <w:r w:rsidR="006B35CD">
        <w:t>-</w:t>
      </w:r>
      <w:r w:rsidR="00333FA0">
        <w:t>based and applied proportionately</w:t>
      </w:r>
      <w:r>
        <w:t xml:space="preserve"> to the seriousness of </w:t>
      </w:r>
      <w:r w:rsidR="00333FA0">
        <w:t>alleged</w:t>
      </w:r>
      <w:r w:rsidR="006B35CD">
        <w:t xml:space="preserve"> or suspected</w:t>
      </w:r>
      <w:r w:rsidR="00333FA0">
        <w:t xml:space="preserve"> </w:t>
      </w:r>
      <w:r>
        <w:t>non-compliance, culpability, and risk of harm to the community and water security</w:t>
      </w:r>
      <w:r w:rsidR="00643140">
        <w:t>.</w:t>
      </w:r>
    </w:p>
    <w:p w14:paraId="14B188DA" w14:textId="7A267179" w:rsidR="00EC2F24" w:rsidRDefault="00EC2F24" w:rsidP="00EC2F24">
      <w:pPr>
        <w:pStyle w:val="ListParagraph"/>
        <w:numPr>
          <w:ilvl w:val="0"/>
          <w:numId w:val="38"/>
        </w:numPr>
        <w:rPr>
          <w:b/>
          <w:bCs/>
        </w:rPr>
      </w:pPr>
      <w:r w:rsidRPr="0060442F">
        <w:rPr>
          <w:b/>
          <w:bCs/>
        </w:rPr>
        <w:t>Transparent</w:t>
      </w:r>
      <w:r>
        <w:t xml:space="preserve"> – </w:t>
      </w:r>
      <w:r w:rsidR="0077789D" w:rsidRPr="0077789D">
        <w:t xml:space="preserve">we work with the regulated community and provide clear education on how to comply. We report internally and externally on our activities to support </w:t>
      </w:r>
      <w:r w:rsidR="0077789D">
        <w:t>transparency of decisions</w:t>
      </w:r>
      <w:r w:rsidR="0077789D" w:rsidRPr="0077789D">
        <w:t>. We publicise enforcement outcomes, as appropriate</w:t>
      </w:r>
      <w:r w:rsidR="005110D5" w:rsidRPr="005110D5">
        <w:t>.</w:t>
      </w:r>
    </w:p>
    <w:p w14:paraId="7AFA196C" w14:textId="47C21E61" w:rsidR="00EC2F24" w:rsidRPr="0060442F" w:rsidRDefault="00EC2F24" w:rsidP="00EC2F24">
      <w:pPr>
        <w:pStyle w:val="ListParagraph"/>
        <w:numPr>
          <w:ilvl w:val="0"/>
          <w:numId w:val="38"/>
        </w:numPr>
      </w:pPr>
      <w:r w:rsidRPr="0003539E">
        <w:rPr>
          <w:b/>
          <w:bCs/>
        </w:rPr>
        <w:lastRenderedPageBreak/>
        <w:t>Fair and ethical</w:t>
      </w:r>
      <w:r w:rsidRPr="0060442F">
        <w:t xml:space="preserve"> – we will </w:t>
      </w:r>
      <w:r w:rsidR="00333FA0">
        <w:t xml:space="preserve">undertake our compliance activities with integrity, professionalism and </w:t>
      </w:r>
      <w:r w:rsidR="006B35CD">
        <w:t xml:space="preserve">that allows for </w:t>
      </w:r>
      <w:r w:rsidR="00333FA0">
        <w:t xml:space="preserve">procedural fairness. </w:t>
      </w:r>
      <w:r w:rsidR="00643140">
        <w:t>O</w:t>
      </w:r>
      <w:r w:rsidRPr="0060442F">
        <w:t xml:space="preserve">ur staff will </w:t>
      </w:r>
      <w:r w:rsidR="00333FA0">
        <w:t>behav</w:t>
      </w:r>
      <w:r w:rsidR="006B35CD">
        <w:t>e</w:t>
      </w:r>
      <w:r w:rsidRPr="0060442F">
        <w:t xml:space="preserve"> in accordance with the A</w:t>
      </w:r>
      <w:r w:rsidR="0038591F">
        <w:t xml:space="preserve">ustralian </w:t>
      </w:r>
      <w:r w:rsidRPr="0060442F">
        <w:t>P</w:t>
      </w:r>
      <w:r w:rsidR="0038591F">
        <w:t xml:space="preserve">ublic </w:t>
      </w:r>
      <w:r w:rsidRPr="0060442F">
        <w:t>S</w:t>
      </w:r>
      <w:r w:rsidR="0038591F">
        <w:t>ervice (</w:t>
      </w:r>
      <w:r w:rsidR="00743B85">
        <w:t xml:space="preserve">APS) </w:t>
      </w:r>
      <w:r w:rsidR="00743B85" w:rsidRPr="0060442F">
        <w:t>Code</w:t>
      </w:r>
      <w:r w:rsidRPr="0060442F">
        <w:t xml:space="preserve"> of Conduct</w:t>
      </w:r>
      <w:r w:rsidR="006B35CD">
        <w:t>,</w:t>
      </w:r>
      <w:r w:rsidRPr="0060442F">
        <w:t xml:space="preserve"> </w:t>
      </w:r>
      <w:r w:rsidR="00643140">
        <w:t xml:space="preserve">APS </w:t>
      </w:r>
      <w:r w:rsidRPr="0060442F">
        <w:t>Values</w:t>
      </w:r>
      <w:r w:rsidR="006B35CD">
        <w:t xml:space="preserve"> and administrative law</w:t>
      </w:r>
      <w:r w:rsidRPr="0060442F">
        <w:t xml:space="preserve">. </w:t>
      </w:r>
    </w:p>
    <w:p w14:paraId="771F46B3" w14:textId="0C616BAB" w:rsidR="00EC2F24" w:rsidRPr="00AC7928" w:rsidRDefault="00EC2F24" w:rsidP="00497DCD">
      <w:pPr>
        <w:pStyle w:val="ListParagraph"/>
        <w:numPr>
          <w:ilvl w:val="0"/>
          <w:numId w:val="38"/>
        </w:numPr>
        <w:spacing w:after="0" w:line="240" w:lineRule="auto"/>
      </w:pPr>
      <w:r w:rsidRPr="00A175F3">
        <w:rPr>
          <w:b/>
          <w:bCs/>
        </w:rPr>
        <w:t>Collaborative</w:t>
      </w:r>
      <w:r w:rsidRPr="0060442F">
        <w:t xml:space="preserve"> – we will work with other regulators and government agencies to </w:t>
      </w:r>
      <w:r w:rsidR="00333FA0">
        <w:t xml:space="preserve">share information and </w:t>
      </w:r>
      <w:r w:rsidR="00743B85">
        <w:t>findings and</w:t>
      </w:r>
      <w:r w:rsidR="00CB4E14">
        <w:t xml:space="preserve"> collaborate on</w:t>
      </w:r>
      <w:r w:rsidR="00333FA0">
        <w:t xml:space="preserve"> monitoring and compliance functions </w:t>
      </w:r>
      <w:r w:rsidR="00CB4E14">
        <w:t xml:space="preserve">that will </w:t>
      </w:r>
      <w:r w:rsidRPr="0060442F">
        <w:t>achieve efficient and effective whole-of-government outcomes.</w:t>
      </w:r>
    </w:p>
    <w:p w14:paraId="3217B5A6" w14:textId="60454D15" w:rsidR="00595CF1" w:rsidRDefault="00595CF1" w:rsidP="00595CF1">
      <w:pPr>
        <w:pStyle w:val="Heading2"/>
        <w:pageBreakBefore w:val="0"/>
        <w:spacing w:before="240"/>
      </w:pPr>
      <w:bookmarkStart w:id="31" w:name="_Toc117609183"/>
      <w:r w:rsidRPr="00EC2F24">
        <w:t>Our</w:t>
      </w:r>
      <w:r>
        <w:t xml:space="preserve"> approach to </w:t>
      </w:r>
      <w:r w:rsidR="00DA0A42">
        <w:t>regulation</w:t>
      </w:r>
      <w:bookmarkEnd w:id="31"/>
    </w:p>
    <w:p w14:paraId="703F8258" w14:textId="76CA81D0" w:rsidR="00595CF1" w:rsidRDefault="00595CF1" w:rsidP="00595CF1">
      <w:r>
        <w:t>Our approach</w:t>
      </w:r>
      <w:r w:rsidR="005E07C5">
        <w:t xml:space="preserve"> to regulation</w:t>
      </w:r>
      <w:r>
        <w:t xml:space="preserve"> is to monitor</w:t>
      </w:r>
      <w:r w:rsidR="005E07C5">
        <w:t xml:space="preserve"> and </w:t>
      </w:r>
      <w:r>
        <w:t>support compliant behaviour and respond to suspected or actual non-compliance. We acknowledge that most regulated entities accept the obligations imposed on them by legislation and comply voluntarily.</w:t>
      </w:r>
      <w:r w:rsidR="00DC59B3">
        <w:t xml:space="preserve"> </w:t>
      </w:r>
      <w:r>
        <w:t xml:space="preserve">We </w:t>
      </w:r>
      <w:r w:rsidR="005E07C5">
        <w:t xml:space="preserve">will work with entities to </w:t>
      </w:r>
      <w:r>
        <w:t>provide additional support</w:t>
      </w:r>
      <w:r w:rsidR="00643140">
        <w:t xml:space="preserve"> for them</w:t>
      </w:r>
      <w:r>
        <w:t xml:space="preserve"> to understand their obligations and </w:t>
      </w:r>
      <w:r w:rsidR="00CB4E14">
        <w:t xml:space="preserve">to </w:t>
      </w:r>
      <w:r>
        <w:t>ensure ongoing compliance. Where non-compliance cannot be resolved cooperatively, we will use the full force of civil and criminal law to achieve compliance</w:t>
      </w:r>
      <w:r w:rsidR="00A175F3">
        <w:t xml:space="preserve"> and </w:t>
      </w:r>
      <w:r w:rsidR="00E254B3">
        <w:t>prevent</w:t>
      </w:r>
      <w:r w:rsidR="00A175F3">
        <w:t xml:space="preserve"> non-compliant behaviour</w:t>
      </w:r>
      <w:r>
        <w:t>.</w:t>
      </w:r>
    </w:p>
    <w:p w14:paraId="75CEF53E" w14:textId="253293D7" w:rsidR="00CB4E14" w:rsidRDefault="00631E15" w:rsidP="00EC2F24">
      <w:bookmarkStart w:id="32" w:name="_Toc106783582"/>
      <w:bookmarkEnd w:id="32"/>
      <w:r>
        <w:t xml:space="preserve">Our </w:t>
      </w:r>
      <w:r w:rsidRPr="0003539E">
        <w:rPr>
          <w:i/>
          <w:iCs/>
        </w:rPr>
        <w:t>proactive</w:t>
      </w:r>
      <w:r>
        <w:t xml:space="preserve"> compliance activities will</w:t>
      </w:r>
      <w:r w:rsidR="00595CF1">
        <w:t xml:space="preserve"> prioritise</w:t>
      </w:r>
      <w:r w:rsidR="00CE4288">
        <w:t xml:space="preserve"> those </w:t>
      </w:r>
      <w:r w:rsidR="00672AAC">
        <w:t xml:space="preserve">entities </w:t>
      </w:r>
      <w:r w:rsidR="00CE4288">
        <w:t xml:space="preserve">who pose the greatest risk to the </w:t>
      </w:r>
      <w:r w:rsidR="0066151F">
        <w:t>s</w:t>
      </w:r>
      <w:r w:rsidR="00CE4288">
        <w:t xml:space="preserve">cheme achieving </w:t>
      </w:r>
      <w:r w:rsidR="00595CF1">
        <w:t>its objectives</w:t>
      </w:r>
      <w:r w:rsidR="00CB4E14">
        <w:t>, a</w:t>
      </w:r>
      <w:r w:rsidR="00CE4288">
        <w:t>s well as those operators who have a history of non</w:t>
      </w:r>
      <w:r w:rsidR="00DA0A42">
        <w:noBreakHyphen/>
      </w:r>
      <w:r w:rsidR="00CE4288">
        <w:t xml:space="preserve">compliance. </w:t>
      </w:r>
      <w:r w:rsidR="00CB4E14">
        <w:t xml:space="preserve">We engage with industry, </w:t>
      </w:r>
      <w:proofErr w:type="gramStart"/>
      <w:r w:rsidR="00CB4E14">
        <w:t>government</w:t>
      </w:r>
      <w:proofErr w:type="gramEnd"/>
      <w:r w:rsidR="00CB4E14">
        <w:t xml:space="preserve"> and the public to remain alert to </w:t>
      </w:r>
      <w:r w:rsidR="00672AAC">
        <w:t xml:space="preserve">emerging risks to the scheme through </w:t>
      </w:r>
      <w:r w:rsidR="00CB4E14">
        <w:t>changes in the operati</w:t>
      </w:r>
      <w:r w:rsidR="00941669">
        <w:t>ng</w:t>
      </w:r>
      <w:r w:rsidR="00CB4E14">
        <w:t xml:space="preserve"> environment</w:t>
      </w:r>
      <w:r w:rsidR="00672AAC">
        <w:t>,</w:t>
      </w:r>
      <w:r w:rsidR="00B425A2">
        <w:t xml:space="preserve"> product</w:t>
      </w:r>
      <w:r w:rsidR="00672AAC">
        <w:t xml:space="preserve"> design,</w:t>
      </w:r>
      <w:r w:rsidR="00B425A2">
        <w:t xml:space="preserve"> </w:t>
      </w:r>
      <w:r w:rsidR="00CB4E14">
        <w:t xml:space="preserve">and </w:t>
      </w:r>
      <w:r w:rsidR="00672AAC">
        <w:t xml:space="preserve">methods of </w:t>
      </w:r>
      <w:r w:rsidR="00CB4E14">
        <w:t>illegal trade.</w:t>
      </w:r>
      <w:r w:rsidR="00486A9A">
        <w:t xml:space="preserve"> We l</w:t>
      </w:r>
      <w:r w:rsidR="00486A9A" w:rsidRPr="00486A9A">
        <w:t>everag</w:t>
      </w:r>
      <w:r w:rsidR="00486A9A">
        <w:t>e</w:t>
      </w:r>
      <w:r w:rsidR="00486A9A" w:rsidRPr="00486A9A">
        <w:t xml:space="preserve"> data and info</w:t>
      </w:r>
      <w:r w:rsidR="00486A9A">
        <w:t>rmation</w:t>
      </w:r>
      <w:r w:rsidR="00486A9A" w:rsidRPr="00486A9A">
        <w:t xml:space="preserve"> sharing with S</w:t>
      </w:r>
      <w:r w:rsidR="00486A9A">
        <w:t xml:space="preserve">tate and </w:t>
      </w:r>
      <w:r w:rsidR="00486A9A" w:rsidRPr="00486A9A">
        <w:t>T</w:t>
      </w:r>
      <w:r w:rsidR="00486A9A">
        <w:t>erritory coregulators</w:t>
      </w:r>
      <w:r w:rsidR="00486A9A" w:rsidRPr="00486A9A">
        <w:t xml:space="preserve"> to identify emerging areas of compliance risk and engag</w:t>
      </w:r>
      <w:r w:rsidR="009432C6">
        <w:t>e</w:t>
      </w:r>
      <w:r w:rsidR="00486A9A" w:rsidRPr="00486A9A">
        <w:t xml:space="preserve"> proactively with entities to support compliance</w:t>
      </w:r>
      <w:r w:rsidR="00486A9A">
        <w:t>.</w:t>
      </w:r>
    </w:p>
    <w:p w14:paraId="2F5605BB" w14:textId="099871E8" w:rsidR="00CE4288" w:rsidRDefault="00CE4288" w:rsidP="00EC2F24">
      <w:r>
        <w:t xml:space="preserve">When we undertake proactive compliance monitoring, we consult other regulators </w:t>
      </w:r>
      <w:r w:rsidR="00595CF1">
        <w:t xml:space="preserve">and </w:t>
      </w:r>
      <w:r>
        <w:t xml:space="preserve">governments to improve efficiency and reduce duplication. We </w:t>
      </w:r>
      <w:r w:rsidR="00631E15">
        <w:t xml:space="preserve">will </w:t>
      </w:r>
      <w:r>
        <w:t>work with others to support corrective actions in a proportionate way.</w:t>
      </w:r>
    </w:p>
    <w:p w14:paraId="57D3DEBA" w14:textId="688CF747" w:rsidR="00CE4288" w:rsidRDefault="00CE4288" w:rsidP="00EC2F24">
      <w:r>
        <w:t xml:space="preserve">For our </w:t>
      </w:r>
      <w:r w:rsidRPr="0003539E">
        <w:rPr>
          <w:i/>
          <w:iCs/>
        </w:rPr>
        <w:t xml:space="preserve">reactive </w:t>
      </w:r>
      <w:r>
        <w:t xml:space="preserve">compliance activities, we consider </w:t>
      </w:r>
      <w:r w:rsidR="000D6818">
        <w:t xml:space="preserve">the </w:t>
      </w:r>
      <w:r>
        <w:t xml:space="preserve">nature of allegation, </w:t>
      </w:r>
      <w:r w:rsidR="004F768C">
        <w:t xml:space="preserve">the </w:t>
      </w:r>
      <w:r>
        <w:t>potential for systemic issues, patterns of behaviour and whether more impactful outcome</w:t>
      </w:r>
      <w:r w:rsidR="009E28EF">
        <w:t>s</w:t>
      </w:r>
      <w:r>
        <w:t xml:space="preserve"> can be achieved through </w:t>
      </w:r>
      <w:r w:rsidR="00364391">
        <w:t xml:space="preserve">corrective action via </w:t>
      </w:r>
      <w:r>
        <w:t>other programs and schemes.</w:t>
      </w:r>
    </w:p>
    <w:p w14:paraId="2CB460F1" w14:textId="77777777" w:rsidR="004F768C" w:rsidRDefault="004F768C" w:rsidP="004F768C">
      <w:pPr>
        <w:pStyle w:val="Heading3"/>
      </w:pPr>
      <w:bookmarkStart w:id="33" w:name="_Toc117609184"/>
      <w:r>
        <w:t>Risk-based regulation</w:t>
      </w:r>
      <w:bookmarkEnd w:id="33"/>
    </w:p>
    <w:p w14:paraId="7456507A" w14:textId="6C81CDB7" w:rsidR="00EC2F24" w:rsidRDefault="00EC2F24" w:rsidP="00EC2F24">
      <w:r>
        <w:t>The</w:t>
      </w:r>
      <w:r w:rsidR="008743C5">
        <w:t xml:space="preserve"> </w:t>
      </w:r>
      <w:r>
        <w:t xml:space="preserve">key aspects </w:t>
      </w:r>
      <w:r w:rsidR="00B23DF3">
        <w:t xml:space="preserve">we consider in </w:t>
      </w:r>
      <w:r>
        <w:t>our risk-based approach</w:t>
      </w:r>
      <w:r w:rsidR="00CE4288">
        <w:t xml:space="preserve"> to regulation</w:t>
      </w:r>
      <w:r w:rsidR="004F768C">
        <w:t xml:space="preserve"> are</w:t>
      </w:r>
      <w:r>
        <w:t>:</w:t>
      </w:r>
    </w:p>
    <w:p w14:paraId="5F4CFD68" w14:textId="4ABDD426" w:rsidR="00B87B44" w:rsidRDefault="004F768C" w:rsidP="004F768C">
      <w:pPr>
        <w:pStyle w:val="ListNumber"/>
        <w:numPr>
          <w:ilvl w:val="0"/>
          <w:numId w:val="41"/>
        </w:numPr>
      </w:pPr>
      <w:r>
        <w:t>i</w:t>
      </w:r>
      <w:r w:rsidR="00B87B44">
        <w:t>mpact from non-compliance</w:t>
      </w:r>
    </w:p>
    <w:p w14:paraId="7B3C0854" w14:textId="19F00154" w:rsidR="00B87B44" w:rsidRDefault="004F768C" w:rsidP="0003539E">
      <w:pPr>
        <w:pStyle w:val="ListNumber"/>
        <w:numPr>
          <w:ilvl w:val="0"/>
          <w:numId w:val="41"/>
        </w:numPr>
      </w:pPr>
      <w:r>
        <w:t>l</w:t>
      </w:r>
      <w:r w:rsidR="00B87B44">
        <w:t>ikelihood of non-compliance and culpability</w:t>
      </w:r>
    </w:p>
    <w:p w14:paraId="32FDAA9F" w14:textId="766DAF6C" w:rsidR="00B87B44" w:rsidRDefault="004F768C" w:rsidP="0003539E">
      <w:pPr>
        <w:pStyle w:val="ListNumber"/>
        <w:numPr>
          <w:ilvl w:val="0"/>
          <w:numId w:val="41"/>
        </w:numPr>
      </w:pPr>
      <w:r>
        <w:t>r</w:t>
      </w:r>
      <w:r w:rsidR="00B87B44">
        <w:t xml:space="preserve">eputational </w:t>
      </w:r>
      <w:r>
        <w:t xml:space="preserve">harm </w:t>
      </w:r>
      <w:r w:rsidR="00480FE2">
        <w:t>to</w:t>
      </w:r>
      <w:r>
        <w:t xml:space="preserve"> the</w:t>
      </w:r>
      <w:r w:rsidR="00480FE2">
        <w:t xml:space="preserve"> WELS scheme</w:t>
      </w:r>
      <w:r>
        <w:t xml:space="preserve"> and the Australian Government</w:t>
      </w:r>
    </w:p>
    <w:p w14:paraId="4A98B8EF" w14:textId="2406ECB1" w:rsidR="00FA2FF2" w:rsidRDefault="00FA2FF2">
      <w:pPr>
        <w:spacing w:after="0" w:line="240" w:lineRule="auto"/>
      </w:pPr>
    </w:p>
    <w:p w14:paraId="15887A6A" w14:textId="4DCC12F6" w:rsidR="00B642B6" w:rsidRDefault="00B642B6" w:rsidP="00B642B6">
      <w:pPr>
        <w:pStyle w:val="Heading4"/>
      </w:pPr>
      <w:r>
        <w:t xml:space="preserve">Determining </w:t>
      </w:r>
      <w:r w:rsidR="00F01FCB">
        <w:t xml:space="preserve">the </w:t>
      </w:r>
      <w:r>
        <w:t xml:space="preserve">impact </w:t>
      </w:r>
      <w:r w:rsidR="00480FE2">
        <w:t>from</w:t>
      </w:r>
      <w:r>
        <w:t xml:space="preserve"> non-compliance</w:t>
      </w:r>
    </w:p>
    <w:p w14:paraId="3BBE681E" w14:textId="13727341" w:rsidR="0009679F" w:rsidRDefault="00B87B44" w:rsidP="00B204E8">
      <w:pPr>
        <w:pStyle w:val="ListNumber"/>
        <w:numPr>
          <w:ilvl w:val="0"/>
          <w:numId w:val="0"/>
        </w:numPr>
        <w:ind w:left="142"/>
        <w:rPr>
          <w:noProof/>
        </w:rPr>
      </w:pPr>
      <w:r>
        <w:t xml:space="preserve">To determine </w:t>
      </w:r>
      <w:r w:rsidR="005110D5">
        <w:t xml:space="preserve">the </w:t>
      </w:r>
      <w:r>
        <w:t>impact from non-compliance we consider actual or potential impacts on water saving</w:t>
      </w:r>
      <w:r w:rsidR="00F01FCB">
        <w:t>,</w:t>
      </w:r>
      <w:r>
        <w:t xml:space="preserve"> </w:t>
      </w:r>
      <w:proofErr w:type="gramStart"/>
      <w:r>
        <w:t>consumer</w:t>
      </w:r>
      <w:r w:rsidR="00F01FCB">
        <w:t>s</w:t>
      </w:r>
      <w:r>
        <w:t>;</w:t>
      </w:r>
      <w:proofErr w:type="gramEnd"/>
      <w:r>
        <w:t xml:space="preserve"> and regulated product integrity. We also consider scale</w:t>
      </w:r>
      <w:r w:rsidR="00AF4E47">
        <w:t xml:space="preserve">, </w:t>
      </w:r>
      <w:r>
        <w:t>duration,</w:t>
      </w:r>
      <w:r w:rsidR="00AF4E47">
        <w:t xml:space="preserve"> types of products</w:t>
      </w:r>
      <w:r>
        <w:t xml:space="preserve">, </w:t>
      </w:r>
      <w:r w:rsidR="00AF4E47">
        <w:t xml:space="preserve">and the </w:t>
      </w:r>
      <w:r>
        <w:t xml:space="preserve">degree of misinformation </w:t>
      </w:r>
      <w:r w:rsidR="00AF4E47">
        <w:t xml:space="preserve">or </w:t>
      </w:r>
      <w:r>
        <w:t>non</w:t>
      </w:r>
      <w:r w:rsidR="00D866EB">
        <w:noBreakHyphen/>
      </w:r>
      <w:r>
        <w:t>compliance with the water efficiency and performance standards.</w:t>
      </w:r>
    </w:p>
    <w:p w14:paraId="60A5156A" w14:textId="538ECBBC" w:rsidR="006011D9" w:rsidRDefault="003676AF" w:rsidP="00B204E8">
      <w:pPr>
        <w:spacing w:after="0" w:line="240" w:lineRule="auto"/>
        <w:jc w:val="center"/>
        <w:rPr>
          <w:noProof/>
        </w:rPr>
      </w:pPr>
      <w:r w:rsidRPr="003676AF">
        <w:rPr>
          <w:noProof/>
        </w:rPr>
        <w:lastRenderedPageBreak/>
        <w:drawing>
          <wp:inline distT="0" distB="0" distL="0" distR="0" wp14:anchorId="282AD3E6" wp14:editId="0CA48F57">
            <wp:extent cx="3221666" cy="2933244"/>
            <wp:effectExtent l="0" t="0" r="0" b="635"/>
            <wp:docPr id="11" name="Picture 1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10;&#10;Description automatically generated"/>
                    <pic:cNvPicPr/>
                  </pic:nvPicPr>
                  <pic:blipFill>
                    <a:blip r:embed="rId20"/>
                    <a:stretch>
                      <a:fillRect/>
                    </a:stretch>
                  </pic:blipFill>
                  <pic:spPr>
                    <a:xfrm>
                      <a:off x="0" y="0"/>
                      <a:ext cx="3237300" cy="2947478"/>
                    </a:xfrm>
                    <a:prstGeom prst="rect">
                      <a:avLst/>
                    </a:prstGeom>
                  </pic:spPr>
                </pic:pic>
              </a:graphicData>
            </a:graphic>
          </wp:inline>
        </w:drawing>
      </w:r>
    </w:p>
    <w:p w14:paraId="5342A8EA" w14:textId="24687177" w:rsidR="008164B0" w:rsidRDefault="008164B0" w:rsidP="008164B0">
      <w:pPr>
        <w:pStyle w:val="Heading4"/>
      </w:pPr>
      <w:r>
        <w:t>Determining</w:t>
      </w:r>
      <w:r w:rsidR="00F01FCB">
        <w:t xml:space="preserve"> the</w:t>
      </w:r>
      <w:r>
        <w:t xml:space="preserve"> likelihood of non-compliance and culpability</w:t>
      </w:r>
    </w:p>
    <w:p w14:paraId="545F5C4D" w14:textId="70D3A79A" w:rsidR="005110D5" w:rsidRDefault="005110D5">
      <w:pPr>
        <w:pStyle w:val="ListNumber"/>
        <w:numPr>
          <w:ilvl w:val="0"/>
          <w:numId w:val="0"/>
        </w:numPr>
        <w:ind w:left="142"/>
      </w:pPr>
      <w:r>
        <w:t>To determine l</w:t>
      </w:r>
      <w:r w:rsidR="00B87B44">
        <w:t xml:space="preserve">ikelihood of non-compliance and culpability </w:t>
      </w:r>
      <w:r w:rsidR="00732012">
        <w:t xml:space="preserve">we consider </w:t>
      </w:r>
      <w:r w:rsidR="00B87B44">
        <w:t xml:space="preserve">entity compliance history, </w:t>
      </w:r>
      <w:r w:rsidR="00F01FCB">
        <w:t xml:space="preserve">any </w:t>
      </w:r>
      <w:r w:rsidR="00B87B44">
        <w:t xml:space="preserve">business processes </w:t>
      </w:r>
      <w:r w:rsidR="00F01FCB">
        <w:t xml:space="preserve">that are </w:t>
      </w:r>
      <w:r w:rsidR="00B87B44">
        <w:t xml:space="preserve">in place to prevent non-compliance, </w:t>
      </w:r>
      <w:r w:rsidR="00F01FCB">
        <w:t xml:space="preserve">the entity’s </w:t>
      </w:r>
      <w:r w:rsidR="00B87B44">
        <w:t xml:space="preserve">behaviour when engaging with WELS Regulator and the </w:t>
      </w:r>
      <w:r w:rsidR="0066151F">
        <w:t>s</w:t>
      </w:r>
      <w:r w:rsidR="00B87B44">
        <w:t xml:space="preserve">cheme, </w:t>
      </w:r>
      <w:r w:rsidR="00F01FCB">
        <w:t xml:space="preserve">and </w:t>
      </w:r>
      <w:proofErr w:type="gramStart"/>
      <w:r w:rsidR="00F01FCB">
        <w:t>theirs</w:t>
      </w:r>
      <w:proofErr w:type="gramEnd"/>
      <w:r w:rsidR="00B87B44">
        <w:t xml:space="preserve"> role in the supply chain.</w:t>
      </w:r>
      <w:r w:rsidR="007F5C36">
        <w:t xml:space="preserve"> </w:t>
      </w:r>
    </w:p>
    <w:p w14:paraId="751ACF04" w14:textId="77777777" w:rsidR="00F01FCB" w:rsidRDefault="00F01FCB" w:rsidP="003E6B3E">
      <w:pPr>
        <w:pStyle w:val="ListNumber"/>
        <w:numPr>
          <w:ilvl w:val="0"/>
          <w:numId w:val="0"/>
        </w:numPr>
        <w:ind w:left="142"/>
        <w:jc w:val="center"/>
      </w:pPr>
      <w:r w:rsidRPr="003676AF">
        <w:rPr>
          <w:noProof/>
        </w:rPr>
        <w:drawing>
          <wp:inline distT="0" distB="0" distL="0" distR="0" wp14:anchorId="1CC47433" wp14:editId="37AA7ACE">
            <wp:extent cx="3334542" cy="2989691"/>
            <wp:effectExtent l="0" t="0" r="0" b="127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iagram&#10;&#10;Description automatically generated"/>
                    <pic:cNvPicPr/>
                  </pic:nvPicPr>
                  <pic:blipFill>
                    <a:blip r:embed="rId21"/>
                    <a:stretch>
                      <a:fillRect/>
                    </a:stretch>
                  </pic:blipFill>
                  <pic:spPr>
                    <a:xfrm>
                      <a:off x="0" y="0"/>
                      <a:ext cx="3344507" cy="2998626"/>
                    </a:xfrm>
                    <a:prstGeom prst="rect">
                      <a:avLst/>
                    </a:prstGeom>
                  </pic:spPr>
                </pic:pic>
              </a:graphicData>
            </a:graphic>
          </wp:inline>
        </w:drawing>
      </w:r>
    </w:p>
    <w:p w14:paraId="757AD047" w14:textId="77777777" w:rsidR="00F01FCB" w:rsidRDefault="00F01FCB">
      <w:pPr>
        <w:pStyle w:val="ListNumber"/>
        <w:numPr>
          <w:ilvl w:val="0"/>
          <w:numId w:val="0"/>
        </w:numPr>
        <w:ind w:left="142"/>
      </w:pPr>
    </w:p>
    <w:p w14:paraId="713204BB" w14:textId="188929A0" w:rsidR="00B87B44" w:rsidRDefault="007F5C36">
      <w:pPr>
        <w:pStyle w:val="ListNumber"/>
        <w:numPr>
          <w:ilvl w:val="0"/>
          <w:numId w:val="0"/>
        </w:numPr>
        <w:ind w:left="142"/>
      </w:pPr>
      <w:r>
        <w:t xml:space="preserve">Entities </w:t>
      </w:r>
      <w:r w:rsidR="005F6236">
        <w:t>that</w:t>
      </w:r>
      <w:r>
        <w:t xml:space="preserve"> </w:t>
      </w:r>
      <w:r w:rsidR="005F6236">
        <w:t xml:space="preserve">knowingly </w:t>
      </w:r>
      <w:r>
        <w:t xml:space="preserve">fail </w:t>
      </w:r>
      <w:r w:rsidR="005110D5">
        <w:t xml:space="preserve">to meet </w:t>
      </w:r>
      <w:r w:rsidR="00F01FCB">
        <w:t xml:space="preserve">regulatory </w:t>
      </w:r>
      <w:r>
        <w:t xml:space="preserve">obligations have higher culpability. </w:t>
      </w:r>
      <w:r w:rsidR="005222CC">
        <w:t>Registrants are one such group of regulated entities</w:t>
      </w:r>
      <w:r w:rsidR="00F01FCB">
        <w:t xml:space="preserve"> who have reasonable awareness of their obligations under the scheme</w:t>
      </w:r>
      <w:r w:rsidR="005222CC">
        <w:t xml:space="preserve">, in addition to others with past non-compliance history, </w:t>
      </w:r>
      <w:r w:rsidR="00F01FCB">
        <w:t xml:space="preserve">and </w:t>
      </w:r>
      <w:r w:rsidR="005222CC">
        <w:t xml:space="preserve">where we would </w:t>
      </w:r>
      <w:r w:rsidR="005110D5">
        <w:t>view</w:t>
      </w:r>
      <w:r w:rsidR="005222CC">
        <w:t xml:space="preserve"> non</w:t>
      </w:r>
      <w:r w:rsidR="006011D9">
        <w:noBreakHyphen/>
      </w:r>
      <w:r w:rsidR="005222CC">
        <w:t>compliance as deliberate.</w:t>
      </w:r>
    </w:p>
    <w:p w14:paraId="2EFD5DA6" w14:textId="593E1F8D" w:rsidR="00847824" w:rsidRDefault="00847824" w:rsidP="0003539E">
      <w:pPr>
        <w:pStyle w:val="Heading4"/>
      </w:pPr>
      <w:r>
        <w:t xml:space="preserve">Determining </w:t>
      </w:r>
      <w:bookmarkStart w:id="34" w:name="_Hlk112230802"/>
      <w:r w:rsidR="00480FE2">
        <w:t xml:space="preserve">reputational damage from </w:t>
      </w:r>
      <w:r>
        <w:t>non-compliance</w:t>
      </w:r>
      <w:bookmarkEnd w:id="34"/>
    </w:p>
    <w:p w14:paraId="010F798D" w14:textId="4D08DDC9" w:rsidR="00E65A4E" w:rsidRDefault="00E65A4E" w:rsidP="00E65A4E">
      <w:pPr>
        <w:pStyle w:val="ListNumber"/>
        <w:numPr>
          <w:ilvl w:val="0"/>
          <w:numId w:val="0"/>
        </w:numPr>
      </w:pPr>
      <w:r>
        <w:t xml:space="preserve">We value our reputation and what the WELS </w:t>
      </w:r>
      <w:r w:rsidR="000221C7">
        <w:t>scheme</w:t>
      </w:r>
      <w:r>
        <w:t xml:space="preserve"> </w:t>
      </w:r>
      <w:r w:rsidR="00AF4E47">
        <w:t xml:space="preserve">delivers </w:t>
      </w:r>
      <w:r>
        <w:t xml:space="preserve">to consumers, </w:t>
      </w:r>
      <w:proofErr w:type="gramStart"/>
      <w:r w:rsidR="00C26015">
        <w:t>industry</w:t>
      </w:r>
      <w:proofErr w:type="gramEnd"/>
      <w:r>
        <w:t xml:space="preserve"> and </w:t>
      </w:r>
      <w:r w:rsidR="00F01FCB">
        <w:t xml:space="preserve">national </w:t>
      </w:r>
      <w:r>
        <w:t>water</w:t>
      </w:r>
      <w:r w:rsidR="00C26015">
        <w:t xml:space="preserve"> </w:t>
      </w:r>
      <w:r w:rsidR="00EB1E60">
        <w:t>security</w:t>
      </w:r>
      <w:r>
        <w:t xml:space="preserve">. </w:t>
      </w:r>
    </w:p>
    <w:p w14:paraId="78BD8AD8" w14:textId="45E7F32E" w:rsidR="00D41BDD" w:rsidRDefault="00633C85" w:rsidP="000D6818">
      <w:pPr>
        <w:pStyle w:val="ListNumber"/>
        <w:numPr>
          <w:ilvl w:val="0"/>
          <w:numId w:val="0"/>
        </w:numPr>
        <w:rPr>
          <w:noProof/>
        </w:rPr>
      </w:pPr>
      <w:r>
        <w:rPr>
          <w:noProof/>
        </w:rPr>
        <w:lastRenderedPageBreak/>
        <w:t xml:space="preserve">In addition to </w:t>
      </w:r>
      <w:r w:rsidR="005A7ED4">
        <w:rPr>
          <w:noProof/>
        </w:rPr>
        <w:t xml:space="preserve">the </w:t>
      </w:r>
      <w:r>
        <w:rPr>
          <w:noProof/>
        </w:rPr>
        <w:t xml:space="preserve">impact of non-compliance </w:t>
      </w:r>
      <w:r w:rsidR="005A7ED4">
        <w:rPr>
          <w:noProof/>
        </w:rPr>
        <w:t>and culpability</w:t>
      </w:r>
      <w:r>
        <w:rPr>
          <w:noProof/>
        </w:rPr>
        <w:t xml:space="preserve">, </w:t>
      </w:r>
      <w:r w:rsidR="005A7ED4">
        <w:rPr>
          <w:noProof/>
        </w:rPr>
        <w:t>the Regulator</w:t>
      </w:r>
      <w:r>
        <w:rPr>
          <w:noProof/>
        </w:rPr>
        <w:t xml:space="preserve"> will also consider </w:t>
      </w:r>
      <w:r w:rsidR="00480FE2">
        <w:rPr>
          <w:noProof/>
        </w:rPr>
        <w:t>reputational damage</w:t>
      </w:r>
      <w:r>
        <w:rPr>
          <w:noProof/>
        </w:rPr>
        <w:t xml:space="preserve"> </w:t>
      </w:r>
      <w:r w:rsidR="00480FE2">
        <w:rPr>
          <w:noProof/>
        </w:rPr>
        <w:t>to</w:t>
      </w:r>
      <w:r>
        <w:rPr>
          <w:noProof/>
        </w:rPr>
        <w:t xml:space="preserve"> the WELS </w:t>
      </w:r>
      <w:r w:rsidR="00154E02">
        <w:rPr>
          <w:noProof/>
        </w:rPr>
        <w:t>s</w:t>
      </w:r>
      <w:r>
        <w:rPr>
          <w:noProof/>
        </w:rPr>
        <w:t>cheme</w:t>
      </w:r>
      <w:r w:rsidR="00EB1E60">
        <w:rPr>
          <w:noProof/>
        </w:rPr>
        <w:t xml:space="preserve"> and the Australian Government</w:t>
      </w:r>
      <w:r>
        <w:rPr>
          <w:noProof/>
        </w:rPr>
        <w:t xml:space="preserve">.  </w:t>
      </w:r>
    </w:p>
    <w:p w14:paraId="70F1CCC0" w14:textId="57F8933B" w:rsidR="00E11F97" w:rsidRDefault="00480FE2" w:rsidP="0003539E">
      <w:pPr>
        <w:pStyle w:val="ListNumber"/>
        <w:numPr>
          <w:ilvl w:val="0"/>
          <w:numId w:val="0"/>
        </w:numPr>
      </w:pPr>
      <w:r>
        <w:t xml:space="preserve">We strive to maintain our </w:t>
      </w:r>
      <w:r w:rsidR="00F01FCB">
        <w:t xml:space="preserve">positive </w:t>
      </w:r>
      <w:r>
        <w:t xml:space="preserve">influence and support from </w:t>
      </w:r>
      <w:r w:rsidR="00EB1E60">
        <w:t>co</w:t>
      </w:r>
      <w:r w:rsidR="005A3C9E">
        <w:t>-</w:t>
      </w:r>
      <w:r w:rsidR="00EB1E60">
        <w:t xml:space="preserve">regulators, </w:t>
      </w:r>
      <w:proofErr w:type="gramStart"/>
      <w:r>
        <w:t>industry</w:t>
      </w:r>
      <w:proofErr w:type="gramEnd"/>
      <w:r w:rsidR="00F01FCB">
        <w:t xml:space="preserve"> </w:t>
      </w:r>
      <w:r>
        <w:t xml:space="preserve">and consumers in achieving </w:t>
      </w:r>
      <w:r w:rsidR="00FD4272">
        <w:t>our</w:t>
      </w:r>
      <w:r>
        <w:t xml:space="preserve"> objectives. </w:t>
      </w:r>
      <w:r>
        <w:rPr>
          <w:noProof/>
        </w:rPr>
        <w:t xml:space="preserve">In deciding on our response to non-compliance, </w:t>
      </w:r>
      <w:r>
        <w:t xml:space="preserve">we will consider the damage caused by non-compliance to the WELS scheme reputation, industry and public confidence in the WELS label and perception of WELS program integrity. </w:t>
      </w:r>
    </w:p>
    <w:p w14:paraId="4CB39328" w14:textId="5F82CC09" w:rsidR="00EB1E60" w:rsidRDefault="00EB1E60" w:rsidP="0003539E">
      <w:pPr>
        <w:pStyle w:val="ListNumber"/>
        <w:numPr>
          <w:ilvl w:val="0"/>
          <w:numId w:val="0"/>
        </w:numPr>
      </w:pPr>
      <w:r>
        <w:t xml:space="preserve">We also recognise that the scheme </w:t>
      </w:r>
      <w:r w:rsidR="008743C5">
        <w:t xml:space="preserve">arose from water saving initiatives of the </w:t>
      </w:r>
      <w:r>
        <w:t>Australian industry and water utilities, such that harm to the scheme c</w:t>
      </w:r>
      <w:r w:rsidR="008743C5">
        <w:t>ould</w:t>
      </w:r>
      <w:r>
        <w:t xml:space="preserve"> also </w:t>
      </w:r>
      <w:r w:rsidR="0045095D">
        <w:t xml:space="preserve">negatively </w:t>
      </w:r>
      <w:r w:rsidR="00732012">
        <w:t>affect the</w:t>
      </w:r>
      <w:r>
        <w:t xml:space="preserve"> </w:t>
      </w:r>
      <w:r w:rsidR="008743C5">
        <w:t>industry</w:t>
      </w:r>
      <w:r>
        <w:t>.</w:t>
      </w:r>
      <w:r w:rsidR="00153A8E">
        <w:t xml:space="preserve"> By regulating, we want to ensure a level playing field and that all industry participants pay their fair share of scheme costs.</w:t>
      </w:r>
    </w:p>
    <w:p w14:paraId="7A1594F0" w14:textId="42F85669" w:rsidR="00595CF1" w:rsidRDefault="00595CF1" w:rsidP="0003539E">
      <w:pPr>
        <w:pStyle w:val="Heading3"/>
      </w:pPr>
      <w:bookmarkStart w:id="35" w:name="_Toc117609185"/>
      <w:r>
        <w:t>WELS regulatory response model</w:t>
      </w:r>
      <w:bookmarkEnd w:id="35"/>
    </w:p>
    <w:p w14:paraId="026CC16D" w14:textId="30C677EB" w:rsidR="00276F9D" w:rsidRDefault="00100339" w:rsidP="00581808">
      <w:r>
        <w:t>We uphold the integrity of the WELS label by ensuring that products are registered in accordance with requirements and non</w:t>
      </w:r>
      <w:r w:rsidR="00276F9D">
        <w:noBreakHyphen/>
      </w:r>
      <w:r>
        <w:t xml:space="preserve">compliant products are not supplied to </w:t>
      </w:r>
      <w:r w:rsidR="006E4A51">
        <w:t xml:space="preserve">the </w:t>
      </w:r>
      <w:r>
        <w:t xml:space="preserve">Australian </w:t>
      </w:r>
      <w:r w:rsidR="00EB1E60">
        <w:t>market</w:t>
      </w:r>
      <w:r>
        <w:t>.</w:t>
      </w:r>
      <w:r w:rsidR="00276F9D" w:rsidRPr="00276F9D">
        <w:t xml:space="preserve"> </w:t>
      </w:r>
    </w:p>
    <w:p w14:paraId="4590D53D" w14:textId="15F322CC" w:rsidR="00100339" w:rsidRDefault="00276F9D" w:rsidP="00581808">
      <w:r>
        <w:t>We aim to work with industry to achieve compliance and support businesses in maintaining their reputation among consumers as trusted suppliers of WELS products.</w:t>
      </w:r>
    </w:p>
    <w:p w14:paraId="4621CC32" w14:textId="0385DF95" w:rsidR="00276F9D" w:rsidRDefault="00276F9D" w:rsidP="00276F9D">
      <w:r>
        <w:t xml:space="preserve">We respond to non-compliance in a proportionate way. Our response to non-compliance takes into consideration the </w:t>
      </w:r>
      <w:r w:rsidR="00C86EA0">
        <w:t xml:space="preserve">impact </w:t>
      </w:r>
      <w:r>
        <w:t xml:space="preserve">of non-compliance, culpability, and </w:t>
      </w:r>
      <w:r w:rsidR="00C86EA0">
        <w:t>reputational damage to</w:t>
      </w:r>
      <w:r>
        <w:t xml:space="preserve"> the scheme from the non-compliance.</w:t>
      </w:r>
    </w:p>
    <w:p w14:paraId="1C1DB6C7" w14:textId="65C01C65" w:rsidR="00A45C64" w:rsidRDefault="00100339" w:rsidP="00006ACE">
      <w:pPr>
        <w:spacing w:after="0"/>
      </w:pPr>
      <w:r>
        <w:t xml:space="preserve">We have a range of tools available to us to address non-compliance, from education through to full enforcement. </w:t>
      </w:r>
    </w:p>
    <w:p w14:paraId="6C62C4B6" w14:textId="07DB2CE1" w:rsidR="009A7F10" w:rsidRDefault="00073A26" w:rsidP="00497DCD">
      <w:pPr>
        <w:jc w:val="center"/>
      </w:pPr>
      <w:r w:rsidRPr="00073A26">
        <w:rPr>
          <w:noProof/>
        </w:rPr>
        <w:t xml:space="preserve"> </w:t>
      </w:r>
      <w:r w:rsidR="00157EAE" w:rsidRPr="00157EAE">
        <w:rPr>
          <w:noProof/>
        </w:rPr>
        <w:t xml:space="preserve"> </w:t>
      </w:r>
      <w:r w:rsidR="00EE31DA">
        <w:rPr>
          <w:noProof/>
        </w:rPr>
        <w:drawing>
          <wp:inline distT="0" distB="0" distL="0" distR="0" wp14:anchorId="7E555B5F" wp14:editId="23B6B7A4">
            <wp:extent cx="5759450" cy="32397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759450" cy="3239770"/>
                    </a:xfrm>
                    <a:prstGeom prst="rect">
                      <a:avLst/>
                    </a:prstGeom>
                  </pic:spPr>
                </pic:pic>
              </a:graphicData>
            </a:graphic>
          </wp:inline>
        </w:drawing>
      </w:r>
    </w:p>
    <w:p w14:paraId="226AB35F" w14:textId="77919212" w:rsidR="00315520" w:rsidRDefault="00601798" w:rsidP="007611BF">
      <w:pPr>
        <w:pStyle w:val="Heading3"/>
      </w:pPr>
      <w:bookmarkStart w:id="36" w:name="_Toc111817122"/>
      <w:bookmarkStart w:id="37" w:name="_Toc111817123"/>
      <w:bookmarkStart w:id="38" w:name="_Toc106783585"/>
      <w:bookmarkStart w:id="39" w:name="_Toc117609186"/>
      <w:bookmarkEnd w:id="36"/>
      <w:bookmarkEnd w:id="37"/>
      <w:r>
        <w:lastRenderedPageBreak/>
        <w:t>Communication and</w:t>
      </w:r>
      <w:bookmarkEnd w:id="38"/>
      <w:r>
        <w:t xml:space="preserve"> </w:t>
      </w:r>
      <w:r w:rsidR="0073016F">
        <w:t>e</w:t>
      </w:r>
      <w:r w:rsidR="00BD538D">
        <w:t>ducation</w:t>
      </w:r>
      <w:bookmarkEnd w:id="39"/>
      <w:r w:rsidR="00BD538D">
        <w:t xml:space="preserve"> </w:t>
      </w:r>
    </w:p>
    <w:p w14:paraId="72700FDC" w14:textId="6AF19887" w:rsidR="00315520" w:rsidRDefault="0073016F" w:rsidP="00315520">
      <w:r>
        <w:rPr>
          <w:noProof/>
        </w:rPr>
        <w:drawing>
          <wp:anchor distT="0" distB="0" distL="114300" distR="114300" simplePos="0" relativeHeight="251663360" behindDoc="0" locked="0" layoutInCell="1" allowOverlap="1" wp14:anchorId="19AC710A" wp14:editId="107186C5">
            <wp:simplePos x="0" y="0"/>
            <wp:positionH relativeFrom="column">
              <wp:posOffset>-635</wp:posOffset>
            </wp:positionH>
            <wp:positionV relativeFrom="paragraph">
              <wp:posOffset>6799</wp:posOffset>
            </wp:positionV>
            <wp:extent cx="914400" cy="914400"/>
            <wp:effectExtent l="0" t="0" r="0" b="0"/>
            <wp:wrapSquare wrapText="bothSides"/>
            <wp:docPr id="19" name="Graphic 19" descr="Megaphone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Megaphone1 outline"/>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601798">
        <w:t>W</w:t>
      </w:r>
      <w:r w:rsidR="00BD538D">
        <w:t xml:space="preserve">e recognise that </w:t>
      </w:r>
      <w:r w:rsidR="0000744D">
        <w:t>providing advice</w:t>
      </w:r>
      <w:r w:rsidR="00BD538D">
        <w:t xml:space="preserve"> and </w:t>
      </w:r>
      <w:r w:rsidR="00BF1596">
        <w:t xml:space="preserve">education </w:t>
      </w:r>
      <w:r w:rsidR="00047748">
        <w:t>is</w:t>
      </w:r>
      <w:r w:rsidR="00BD538D">
        <w:t xml:space="preserve"> the </w:t>
      </w:r>
      <w:r w:rsidR="00276F9D">
        <w:t>key</w:t>
      </w:r>
      <w:r w:rsidR="00BD538D">
        <w:t xml:space="preserve"> </w:t>
      </w:r>
      <w:r w:rsidR="00276F9D">
        <w:t xml:space="preserve">to </w:t>
      </w:r>
      <w:r w:rsidR="00C23EF5">
        <w:t xml:space="preserve">helping entities to </w:t>
      </w:r>
      <w:r w:rsidR="00BF1596">
        <w:t>voluntar</w:t>
      </w:r>
      <w:r w:rsidR="00C23EF5">
        <w:t>il</w:t>
      </w:r>
      <w:r w:rsidR="00BF1596">
        <w:t xml:space="preserve">y </w:t>
      </w:r>
      <w:r w:rsidR="00BD538D">
        <w:t>compl</w:t>
      </w:r>
      <w:r w:rsidR="00C23EF5">
        <w:t>y</w:t>
      </w:r>
      <w:r w:rsidR="00BD538D">
        <w:t xml:space="preserve"> and </w:t>
      </w:r>
      <w:r w:rsidR="00C23EF5">
        <w:t xml:space="preserve">to </w:t>
      </w:r>
      <w:r w:rsidR="00BD538D">
        <w:t xml:space="preserve">prevent </w:t>
      </w:r>
      <w:r w:rsidR="00BF1596">
        <w:t xml:space="preserve">inadvertent </w:t>
      </w:r>
      <w:r w:rsidR="00BD538D">
        <w:t>non-compliance.</w:t>
      </w:r>
    </w:p>
    <w:p w14:paraId="501D6EA5" w14:textId="108885BE" w:rsidR="00315520" w:rsidRDefault="00276F9D" w:rsidP="00315520">
      <w:r w:rsidRPr="00276F9D">
        <w:t>We regularly publish information</w:t>
      </w:r>
      <w:r w:rsidR="00C23EF5">
        <w:t xml:space="preserve"> such as fact sheets and newsletters</w:t>
      </w:r>
      <w:r w:rsidRPr="00276F9D">
        <w:t xml:space="preserve">, conduct </w:t>
      </w:r>
      <w:r>
        <w:t>presentations</w:t>
      </w:r>
      <w:r w:rsidRPr="00276F9D">
        <w:t xml:space="preserve"> and answer enquiries to assist industry in understanding and meeting the</w:t>
      </w:r>
      <w:r w:rsidR="00C23EF5">
        <w:t>ir</w:t>
      </w:r>
      <w:r w:rsidRPr="00276F9D">
        <w:t xml:space="preserve"> regulatory </w:t>
      </w:r>
      <w:r w:rsidR="00C23EF5">
        <w:t>obligations</w:t>
      </w:r>
      <w:r w:rsidR="00C23EF5" w:rsidRPr="00276F9D">
        <w:t xml:space="preserve"> </w:t>
      </w:r>
      <w:r w:rsidRPr="00276F9D">
        <w:t>under the</w:t>
      </w:r>
      <w:r>
        <w:t xml:space="preserve"> WELS Act.</w:t>
      </w:r>
    </w:p>
    <w:p w14:paraId="7B372909" w14:textId="62286311" w:rsidR="00C23EF5" w:rsidRDefault="00BD538D" w:rsidP="00315520">
      <w:r>
        <w:t xml:space="preserve">We engage </w:t>
      </w:r>
      <w:r w:rsidR="00A14AE9">
        <w:t>and support compliance</w:t>
      </w:r>
      <w:r>
        <w:t xml:space="preserve"> through a variety of </w:t>
      </w:r>
      <w:r w:rsidR="00C23EF5">
        <w:t xml:space="preserve">communication </w:t>
      </w:r>
      <w:r>
        <w:t>channels, including meetings of the WELS Advisory Group</w:t>
      </w:r>
      <w:r w:rsidR="00C23EF5">
        <w:t>, the WELS Officials Group, meetings with peak industry bodies, our coregulators,</w:t>
      </w:r>
      <w:r>
        <w:t xml:space="preserve"> public surveys and consultations,</w:t>
      </w:r>
      <w:r w:rsidR="00B82330">
        <w:t xml:space="preserve"> advertising to consumers, </w:t>
      </w:r>
      <w:r w:rsidR="00C23EF5">
        <w:t xml:space="preserve">attendance at </w:t>
      </w:r>
      <w:r>
        <w:t>trade shows, home expos, ad</w:t>
      </w:r>
      <w:r w:rsidR="00601798">
        <w:t>-</w:t>
      </w:r>
      <w:r>
        <w:t xml:space="preserve">hoc industry </w:t>
      </w:r>
      <w:r w:rsidR="00A14AE9">
        <w:t xml:space="preserve">fora and </w:t>
      </w:r>
      <w:r w:rsidR="00C23EF5">
        <w:t xml:space="preserve">through </w:t>
      </w:r>
      <w:r w:rsidR="00A14AE9">
        <w:t>proactive inspections</w:t>
      </w:r>
      <w:r>
        <w:t>.</w:t>
      </w:r>
      <w:r w:rsidR="00C23EF5">
        <w:t xml:space="preserve"> </w:t>
      </w:r>
    </w:p>
    <w:p w14:paraId="7AA9422B" w14:textId="0453DACF" w:rsidR="00C23EF5" w:rsidRDefault="00C23EF5" w:rsidP="00315520">
      <w:r>
        <w:t xml:space="preserve">Industry members are engaged through codesign of the Australian and New Zealand WELS Standard, ensuring that the regulated industries understand and </w:t>
      </w:r>
      <w:proofErr w:type="gramStart"/>
      <w:r>
        <w:t>are able to</w:t>
      </w:r>
      <w:proofErr w:type="gramEnd"/>
      <w:r>
        <w:t xml:space="preserve"> meet the requirements.</w:t>
      </w:r>
    </w:p>
    <w:p w14:paraId="267D8D91" w14:textId="77777777" w:rsidR="00B721C5" w:rsidRDefault="00BD538D" w:rsidP="00497DCD">
      <w:r>
        <w:t xml:space="preserve">We </w:t>
      </w:r>
      <w:r w:rsidR="00A14AE9">
        <w:t>provide information and education</w:t>
      </w:r>
      <w:r>
        <w:t xml:space="preserve"> through </w:t>
      </w:r>
      <w:r w:rsidR="00A14AE9">
        <w:t xml:space="preserve">our online </w:t>
      </w:r>
      <w:r>
        <w:t>resources</w:t>
      </w:r>
      <w:r w:rsidR="00A14AE9">
        <w:t>, such as</w:t>
      </w:r>
      <w:r>
        <w:t xml:space="preserve"> </w:t>
      </w:r>
    </w:p>
    <w:p w14:paraId="7449478B" w14:textId="77777777" w:rsidR="00B721C5" w:rsidRPr="00C27EA6" w:rsidRDefault="00BD538D" w:rsidP="00E54D8F">
      <w:pPr>
        <w:pStyle w:val="ListParagraph"/>
        <w:numPr>
          <w:ilvl w:val="0"/>
          <w:numId w:val="46"/>
        </w:numPr>
      </w:pPr>
      <w:r w:rsidRPr="00C27EA6">
        <w:t xml:space="preserve">the </w:t>
      </w:r>
      <w:hyperlink r:id="rId25" w:history="1">
        <w:r w:rsidR="00940760" w:rsidRPr="00C27EA6">
          <w:rPr>
            <w:rStyle w:val="Hyperlink"/>
          </w:rPr>
          <w:t>WELS Water Rating website</w:t>
        </w:r>
      </w:hyperlink>
      <w:r w:rsidR="00A14AE9" w:rsidRPr="00C27EA6">
        <w:t xml:space="preserve">, </w:t>
      </w:r>
    </w:p>
    <w:p w14:paraId="74E9AB1C" w14:textId="607F96D3" w:rsidR="00B721C5" w:rsidRPr="00C27EA6" w:rsidRDefault="00BD538D" w:rsidP="00E54D8F">
      <w:pPr>
        <w:pStyle w:val="ListParagraph"/>
        <w:numPr>
          <w:ilvl w:val="0"/>
          <w:numId w:val="46"/>
        </w:numPr>
      </w:pPr>
      <w:r w:rsidRPr="00C27EA6">
        <w:t>InkWELS newsletter</w:t>
      </w:r>
      <w:r w:rsidR="008743C5" w:rsidRPr="00C27EA6">
        <w:t>s</w:t>
      </w:r>
      <w:r w:rsidRPr="00C27EA6">
        <w:t xml:space="preserve"> (email </w:t>
      </w:r>
      <w:hyperlink r:id="rId26" w:history="1">
        <w:r w:rsidR="002E26A0" w:rsidRPr="00C27EA6">
          <w:rPr>
            <w:rStyle w:val="Hyperlink"/>
          </w:rPr>
          <w:t>wels@dcceew.gov.au</w:t>
        </w:r>
      </w:hyperlink>
      <w:r w:rsidR="00A14AE9" w:rsidRPr="00C27EA6">
        <w:t xml:space="preserve"> to subscribe</w:t>
      </w:r>
      <w:r w:rsidRPr="00C27EA6">
        <w:t>)</w:t>
      </w:r>
      <w:r w:rsidR="00A14AE9" w:rsidRPr="00C27EA6">
        <w:t xml:space="preserve">, </w:t>
      </w:r>
    </w:p>
    <w:p w14:paraId="0C62A69B" w14:textId="64449F11" w:rsidR="00B721C5" w:rsidRPr="00C27EA6" w:rsidRDefault="00BD538D" w:rsidP="00E54D8F">
      <w:pPr>
        <w:pStyle w:val="ListParagraph"/>
        <w:numPr>
          <w:ilvl w:val="0"/>
          <w:numId w:val="46"/>
        </w:numPr>
      </w:pPr>
      <w:r w:rsidRPr="00C27EA6">
        <w:t>webinars</w:t>
      </w:r>
      <w:r w:rsidR="00B721C5" w:rsidRPr="00C27EA6">
        <w:t xml:space="preserve"> and </w:t>
      </w:r>
      <w:r w:rsidRPr="00C27EA6">
        <w:t>fact sheets (</w:t>
      </w:r>
      <w:r w:rsidR="00B721C5" w:rsidRPr="00C27EA6">
        <w:t xml:space="preserve">also </w:t>
      </w:r>
      <w:r w:rsidR="00A14AE9" w:rsidRPr="00C27EA6">
        <w:t xml:space="preserve">available in </w:t>
      </w:r>
      <w:r w:rsidR="00B721C5" w:rsidRPr="00C27EA6">
        <w:t xml:space="preserve">Chinese Simplified and can be requested from </w:t>
      </w:r>
      <w:hyperlink r:id="rId27" w:history="1">
        <w:r w:rsidR="00B721C5" w:rsidRPr="00C27EA6">
          <w:rPr>
            <w:rStyle w:val="Hyperlink"/>
          </w:rPr>
          <w:t>welscompliance@dcceew.gov.au</w:t>
        </w:r>
      </w:hyperlink>
      <w:r w:rsidRPr="00C27EA6">
        <w:t>)</w:t>
      </w:r>
      <w:r w:rsidR="00A14AE9" w:rsidRPr="00C27EA6">
        <w:t xml:space="preserve">, </w:t>
      </w:r>
    </w:p>
    <w:p w14:paraId="79CE80BA" w14:textId="0985C855" w:rsidR="00B721C5" w:rsidRDefault="00BD538D" w:rsidP="00E54D8F">
      <w:pPr>
        <w:pStyle w:val="ListParagraph"/>
        <w:numPr>
          <w:ilvl w:val="0"/>
          <w:numId w:val="46"/>
        </w:numPr>
      </w:pPr>
      <w:r>
        <w:t xml:space="preserve">answering queries through </w:t>
      </w:r>
      <w:r w:rsidR="00A14AE9">
        <w:t>WELS</w:t>
      </w:r>
      <w:r>
        <w:t xml:space="preserve"> information </w:t>
      </w:r>
      <w:r w:rsidR="00A14AE9">
        <w:t xml:space="preserve">telephone </w:t>
      </w:r>
      <w:r>
        <w:t>line</w:t>
      </w:r>
      <w:r w:rsidR="00A14AE9">
        <w:t>s</w:t>
      </w:r>
      <w:r>
        <w:t xml:space="preserve"> and email </w:t>
      </w:r>
      <w:r w:rsidR="00857FAE">
        <w:t>in</w:t>
      </w:r>
      <w:r>
        <w:t>boxes</w:t>
      </w:r>
      <w:r w:rsidR="00B721C5">
        <w:t xml:space="preserve"> (refer to Section 7 of this document ‘Contact Us’)</w:t>
      </w:r>
      <w:r w:rsidR="008743C5">
        <w:t xml:space="preserve"> </w:t>
      </w:r>
    </w:p>
    <w:p w14:paraId="7917CD2B" w14:textId="53FA554E" w:rsidR="00315520" w:rsidRDefault="00BD538D" w:rsidP="00E54D8F">
      <w:pPr>
        <w:pStyle w:val="ListParagraph"/>
        <w:numPr>
          <w:ilvl w:val="0"/>
          <w:numId w:val="46"/>
        </w:numPr>
      </w:pPr>
      <w:r>
        <w:t>supporting e</w:t>
      </w:r>
      <w:r w:rsidR="00A14AE9">
        <w:t>-</w:t>
      </w:r>
      <w:r w:rsidR="00494C91">
        <w:t>c</w:t>
      </w:r>
      <w:r w:rsidR="00A14AE9">
        <w:t xml:space="preserve">ommerce </w:t>
      </w:r>
      <w:r>
        <w:t xml:space="preserve">providers to educate </w:t>
      </w:r>
      <w:r w:rsidR="00811789">
        <w:t xml:space="preserve">their </w:t>
      </w:r>
      <w:r w:rsidR="00387AB0">
        <w:t>sellers</w:t>
      </w:r>
      <w:r>
        <w:t xml:space="preserve"> about WELS requirements</w:t>
      </w:r>
      <w:r w:rsidR="00462E4E">
        <w:t>.</w:t>
      </w:r>
    </w:p>
    <w:p w14:paraId="7EA5C2E3" w14:textId="77777777" w:rsidR="00601798" w:rsidRDefault="00601798" w:rsidP="00601798">
      <w:pPr>
        <w:pStyle w:val="Heading3"/>
      </w:pPr>
      <w:bookmarkStart w:id="40" w:name="_Toc117609187"/>
      <w:r>
        <w:t>Monitoring compliance</w:t>
      </w:r>
      <w:bookmarkEnd w:id="40"/>
    </w:p>
    <w:p w14:paraId="20E1EDC8" w14:textId="6C1FEFA7" w:rsidR="00100339" w:rsidRDefault="0093572B" w:rsidP="00601798">
      <w:r>
        <w:rPr>
          <w:noProof/>
        </w:rPr>
        <w:drawing>
          <wp:anchor distT="0" distB="0" distL="114300" distR="114300" simplePos="0" relativeHeight="251660288" behindDoc="0" locked="0" layoutInCell="1" allowOverlap="1" wp14:anchorId="03E576B5" wp14:editId="6993DBE9">
            <wp:simplePos x="0" y="0"/>
            <wp:positionH relativeFrom="column">
              <wp:posOffset>1905</wp:posOffset>
            </wp:positionH>
            <wp:positionV relativeFrom="paragraph">
              <wp:posOffset>2841</wp:posOffset>
            </wp:positionV>
            <wp:extent cx="914400" cy="914400"/>
            <wp:effectExtent l="0" t="0" r="0" b="0"/>
            <wp:wrapSquare wrapText="bothSides"/>
            <wp:docPr id="10" name="Graphic 10" descr="Clipboar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Clipboard outline"/>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601798">
        <w:t>We collect</w:t>
      </w:r>
      <w:r w:rsidR="00493E46">
        <w:t xml:space="preserve">, </w:t>
      </w:r>
      <w:proofErr w:type="gramStart"/>
      <w:r w:rsidR="00493E46">
        <w:t>monitor</w:t>
      </w:r>
      <w:proofErr w:type="gramEnd"/>
      <w:r w:rsidR="00493E46">
        <w:t xml:space="preserve"> and</w:t>
      </w:r>
      <w:r w:rsidR="00601798">
        <w:t xml:space="preserve"> analyse </w:t>
      </w:r>
      <w:r w:rsidR="00493E46">
        <w:t xml:space="preserve">data and </w:t>
      </w:r>
      <w:r w:rsidR="00601798">
        <w:t xml:space="preserve">information to verify compliance and </w:t>
      </w:r>
      <w:r w:rsidR="002E26A0">
        <w:t xml:space="preserve">to </w:t>
      </w:r>
      <w:r w:rsidR="00601798">
        <w:t xml:space="preserve">detect potential non-compliance. </w:t>
      </w:r>
      <w:r w:rsidR="00100339">
        <w:t xml:space="preserve">We work with </w:t>
      </w:r>
      <w:r w:rsidR="00FA1CEA">
        <w:t xml:space="preserve">federal co-regulators and </w:t>
      </w:r>
      <w:r w:rsidR="00100339">
        <w:t>state</w:t>
      </w:r>
      <w:r w:rsidR="00FA1CEA">
        <w:t xml:space="preserve"> and</w:t>
      </w:r>
      <w:r w:rsidR="000F7917">
        <w:t xml:space="preserve"> territory</w:t>
      </w:r>
      <w:r w:rsidR="00100339">
        <w:t xml:space="preserve"> government</w:t>
      </w:r>
      <w:r w:rsidR="00FA1CEA">
        <w:t>s</w:t>
      </w:r>
      <w:r w:rsidR="002E26A0">
        <w:t xml:space="preserve"> </w:t>
      </w:r>
      <w:r w:rsidR="00100339">
        <w:t>to share information and support compliance activities.</w:t>
      </w:r>
      <w:r w:rsidR="00493E46">
        <w:t xml:space="preserve"> We also have relationships with industry and supply chain enablers that support our efforts to monitor and achieve compliance.</w:t>
      </w:r>
    </w:p>
    <w:p w14:paraId="1DA42942" w14:textId="6A7535BE" w:rsidR="00601798" w:rsidRDefault="00601798" w:rsidP="00601798">
      <w:r>
        <w:t xml:space="preserve">We aim to detect non-compliance before it escalates or becomes </w:t>
      </w:r>
      <w:r w:rsidR="00100339">
        <w:t>ongoing</w:t>
      </w:r>
      <w:r>
        <w:t>.</w:t>
      </w:r>
      <w:r w:rsidR="00100339">
        <w:t xml:space="preserve"> </w:t>
      </w:r>
      <w:r>
        <w:t xml:space="preserve">Where we suspect non-compliance, we may undertake additional targeted </w:t>
      </w:r>
      <w:r w:rsidR="00493E46">
        <w:t xml:space="preserve">information or data </w:t>
      </w:r>
      <w:r>
        <w:t xml:space="preserve">collection </w:t>
      </w:r>
      <w:r w:rsidR="00100339">
        <w:t>to determine if there is actual non-compliance</w:t>
      </w:r>
      <w:r>
        <w:t xml:space="preserve">. </w:t>
      </w:r>
      <w:r w:rsidR="0082183A">
        <w:t>We may undertake inspections and initiate audits to gather additional information, among other sources.</w:t>
      </w:r>
    </w:p>
    <w:p w14:paraId="3DCF8931" w14:textId="104125CF" w:rsidR="00601798" w:rsidRDefault="00D72DA0" w:rsidP="00601798">
      <w:r>
        <w:t>Inspectors, appointed by the</w:t>
      </w:r>
      <w:r w:rsidR="00601798">
        <w:t xml:space="preserve"> </w:t>
      </w:r>
      <w:r w:rsidR="00FA1CEA">
        <w:t xml:space="preserve">WELS </w:t>
      </w:r>
      <w:r w:rsidR="00601798">
        <w:t xml:space="preserve">Regulator </w:t>
      </w:r>
      <w:r>
        <w:t>under the WELS Act</w:t>
      </w:r>
      <w:r w:rsidR="00493E46">
        <w:t>,</w:t>
      </w:r>
      <w:r>
        <w:t xml:space="preserve"> </w:t>
      </w:r>
      <w:r w:rsidR="000F7917">
        <w:t>may use</w:t>
      </w:r>
      <w:r>
        <w:t xml:space="preserve"> a range of powers set out under Part 9 of the WELS Act to monitor compliance and investigate non</w:t>
      </w:r>
      <w:r w:rsidR="000F7917">
        <w:noBreakHyphen/>
      </w:r>
      <w:r>
        <w:t>compliance. Inspector</w:t>
      </w:r>
      <w:r w:rsidR="00601798">
        <w:t xml:space="preserve"> powers relate to entering premises</w:t>
      </w:r>
      <w:r>
        <w:t>,</w:t>
      </w:r>
      <w:r w:rsidR="00601798">
        <w:t xml:space="preserve"> inspecting WELS products</w:t>
      </w:r>
      <w:r>
        <w:t xml:space="preserve"> and </w:t>
      </w:r>
      <w:r w:rsidR="002E26A0">
        <w:t xml:space="preserve">their </w:t>
      </w:r>
      <w:r w:rsidR="00601798">
        <w:t>associated written information and advertising, and the collection of evidentiary material.</w:t>
      </w:r>
      <w:r>
        <w:t xml:space="preserve"> Inspectors can also issue warnings and infringements for non-</w:t>
      </w:r>
      <w:r w:rsidR="00F57C28">
        <w:t>compliance</w:t>
      </w:r>
      <w:r>
        <w:t>.</w:t>
      </w:r>
      <w:r w:rsidR="00F57C28">
        <w:t xml:space="preserve"> We aim to work with entities with their </w:t>
      </w:r>
      <w:r w:rsidR="000F7917">
        <w:t>consent</w:t>
      </w:r>
      <w:r w:rsidR="00F57C28">
        <w:t xml:space="preserve">, however the </w:t>
      </w:r>
      <w:r w:rsidR="00811789">
        <w:t xml:space="preserve">WELS </w:t>
      </w:r>
      <w:r w:rsidR="00F57C28">
        <w:t>Regulator may also issue notices to confirm compliance</w:t>
      </w:r>
      <w:r w:rsidR="0064657E">
        <w:t xml:space="preserve"> and directions to </w:t>
      </w:r>
      <w:r w:rsidR="008D62FD">
        <w:t>achieve compliance</w:t>
      </w:r>
      <w:r w:rsidR="00F57C28">
        <w:t>.</w:t>
      </w:r>
    </w:p>
    <w:p w14:paraId="2126EB5A" w14:textId="77777777" w:rsidR="00315520" w:rsidRDefault="00BD538D" w:rsidP="007611BF">
      <w:pPr>
        <w:pStyle w:val="Heading3"/>
      </w:pPr>
      <w:bookmarkStart w:id="41" w:name="_Toc117609188"/>
      <w:r>
        <w:lastRenderedPageBreak/>
        <w:t xml:space="preserve">Responding to non-compliance </w:t>
      </w:r>
      <w:r w:rsidR="00496013">
        <w:t>–</w:t>
      </w:r>
      <w:r w:rsidRPr="00496013">
        <w:t xml:space="preserve"> administrative</w:t>
      </w:r>
      <w:r>
        <w:t xml:space="preserve"> actions</w:t>
      </w:r>
      <w:bookmarkEnd w:id="41"/>
    </w:p>
    <w:p w14:paraId="6D1F9191" w14:textId="0A402965" w:rsidR="00315520" w:rsidRDefault="0093572B" w:rsidP="00315520">
      <w:r>
        <w:rPr>
          <w:noProof/>
        </w:rPr>
        <w:drawing>
          <wp:anchor distT="0" distB="0" distL="114300" distR="114300" simplePos="0" relativeHeight="251661312" behindDoc="0" locked="0" layoutInCell="1" allowOverlap="1" wp14:anchorId="0FC56477" wp14:editId="11FFBC73">
            <wp:simplePos x="0" y="0"/>
            <wp:positionH relativeFrom="column">
              <wp:posOffset>1905</wp:posOffset>
            </wp:positionH>
            <wp:positionV relativeFrom="paragraph">
              <wp:posOffset>10461</wp:posOffset>
            </wp:positionV>
            <wp:extent cx="914400" cy="914400"/>
            <wp:effectExtent l="0" t="0" r="0" b="0"/>
            <wp:wrapSquare wrapText="bothSides"/>
            <wp:docPr id="13" name="Graphic 13" descr="Boardroom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Boardroom outline"/>
                    <pic:cNvPicPr/>
                  </pic:nvPicPr>
                  <pic:blipFill>
                    <a:blip r:embed="rId30">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D44F6C">
        <w:t>G</w:t>
      </w:r>
      <w:r w:rsidR="003E7D35">
        <w:t>enerally</w:t>
      </w:r>
      <w:r w:rsidR="00FA1CEA">
        <w:t>,</w:t>
      </w:r>
      <w:r w:rsidR="003E7D35">
        <w:t xml:space="preserve"> </w:t>
      </w:r>
      <w:r w:rsidR="00D44F6C">
        <w:t xml:space="preserve">we </w:t>
      </w:r>
      <w:r w:rsidR="003E7D35">
        <w:t xml:space="preserve">attempt to </w:t>
      </w:r>
      <w:r w:rsidR="00494C91">
        <w:t xml:space="preserve">cooperatively </w:t>
      </w:r>
      <w:r w:rsidR="003E7D35">
        <w:t xml:space="preserve">resolve potential </w:t>
      </w:r>
      <w:r w:rsidR="00494C91">
        <w:t xml:space="preserve">breaches that are </w:t>
      </w:r>
      <w:r w:rsidR="00D44F6C">
        <w:t>low</w:t>
      </w:r>
      <w:r w:rsidR="00494C91">
        <w:t>-</w:t>
      </w:r>
      <w:r w:rsidR="00D44F6C">
        <w:t>impact and low</w:t>
      </w:r>
      <w:r w:rsidR="00231506">
        <w:noBreakHyphen/>
      </w:r>
      <w:r w:rsidR="00D44F6C">
        <w:t>level culpability. We contact regulated entities to educate them of their compliance obligations</w:t>
      </w:r>
      <w:r w:rsidR="00231506">
        <w:t xml:space="preserve"> and support compliance</w:t>
      </w:r>
      <w:r w:rsidR="003E7D35">
        <w:t xml:space="preserve">. We </w:t>
      </w:r>
      <w:r w:rsidR="00D44F6C">
        <w:t>make initial contact via</w:t>
      </w:r>
      <w:r w:rsidR="003E7D35">
        <w:t xml:space="preserve"> phone call </w:t>
      </w:r>
      <w:r w:rsidR="00D44F6C">
        <w:t xml:space="preserve">and follow up </w:t>
      </w:r>
      <w:r w:rsidR="003E7D35">
        <w:t>with an email summarising any agreed actions and agreed timeframes.</w:t>
      </w:r>
    </w:p>
    <w:p w14:paraId="6F205884" w14:textId="35FD786B" w:rsidR="00315520" w:rsidRDefault="00BD538D" w:rsidP="00315520">
      <w:r>
        <w:t>If there is no response to our initial contacts or the response is unsatisfactory, we may issue a warning letter requiring action to rectify the non-compliance. Warning letters may be email</w:t>
      </w:r>
      <w:r w:rsidR="00FD2242">
        <w:t>ed</w:t>
      </w:r>
      <w:r w:rsidR="008A21BC">
        <w:t xml:space="preserve"> and/or</w:t>
      </w:r>
      <w:r w:rsidR="00074DDA">
        <w:t xml:space="preserve"> posted</w:t>
      </w:r>
      <w:r w:rsidR="00D44F6C">
        <w:t>,</w:t>
      </w:r>
      <w:r>
        <w:t xml:space="preserve"> and usually contain evidence of the </w:t>
      </w:r>
      <w:r w:rsidR="00D44F6C">
        <w:t xml:space="preserve">alleged </w:t>
      </w:r>
      <w:r>
        <w:t>non-compliance.</w:t>
      </w:r>
    </w:p>
    <w:p w14:paraId="621102A1" w14:textId="3F2DE6DC" w:rsidR="00C80134" w:rsidRDefault="00C80134" w:rsidP="00315520">
      <w:r w:rsidRPr="00686EBC">
        <w:t>I</w:t>
      </w:r>
      <w:r w:rsidR="00686EBC" w:rsidRPr="00497DCD">
        <w:t xml:space="preserve">f non-compliance is identified </w:t>
      </w:r>
      <w:r w:rsidR="00B91914">
        <w:t>in relation to</w:t>
      </w:r>
      <w:r w:rsidR="00686EBC" w:rsidRPr="00497DCD">
        <w:t xml:space="preserve"> registered products, depending on the nature of non-compliance</w:t>
      </w:r>
      <w:r w:rsidR="00B91914">
        <w:t xml:space="preserve"> </w:t>
      </w:r>
      <w:r w:rsidR="00686EBC" w:rsidRPr="00497DCD">
        <w:t xml:space="preserve">– the </w:t>
      </w:r>
      <w:r w:rsidR="00B91914">
        <w:t>R</w:t>
      </w:r>
      <w:r w:rsidR="00686EBC" w:rsidRPr="00497DCD">
        <w:t xml:space="preserve">egulator may suspend or cancel registrations. </w:t>
      </w:r>
      <w:r w:rsidR="00B91914">
        <w:t>I</w:t>
      </w:r>
      <w:r w:rsidR="00B91914" w:rsidRPr="00014D57">
        <w:t xml:space="preserve">n </w:t>
      </w:r>
      <w:r w:rsidR="000B4DB0">
        <w:t>certain</w:t>
      </w:r>
      <w:r w:rsidR="00B91914" w:rsidRPr="00014D57">
        <w:t xml:space="preserve"> circumstances</w:t>
      </w:r>
      <w:r w:rsidR="00B91914">
        <w:t>,</w:t>
      </w:r>
      <w:r w:rsidR="00B91914" w:rsidRPr="00B91914">
        <w:t xml:space="preserve"> </w:t>
      </w:r>
      <w:r w:rsidR="00B91914">
        <w:t>t</w:t>
      </w:r>
      <w:r w:rsidR="00686EBC" w:rsidRPr="00497DCD">
        <w:t xml:space="preserve">he </w:t>
      </w:r>
      <w:r w:rsidR="00B91914">
        <w:t>R</w:t>
      </w:r>
      <w:r w:rsidR="00686EBC" w:rsidRPr="00497DCD">
        <w:t xml:space="preserve">egulator may </w:t>
      </w:r>
      <w:r w:rsidR="006E4A51">
        <w:t xml:space="preserve">also </w:t>
      </w:r>
      <w:r w:rsidR="00686EBC" w:rsidRPr="00497DCD">
        <w:t>refuse</w:t>
      </w:r>
      <w:r w:rsidR="00B91914">
        <w:t xml:space="preserve"> </w:t>
      </w:r>
      <w:r w:rsidR="000B4DB0">
        <w:t xml:space="preserve">registration </w:t>
      </w:r>
      <w:r w:rsidR="00B91914">
        <w:t>applications</w:t>
      </w:r>
      <w:r w:rsidR="00686EBC" w:rsidRPr="00497DCD">
        <w:t>.</w:t>
      </w:r>
      <w:r w:rsidR="00487B33">
        <w:t xml:space="preserve"> </w:t>
      </w:r>
    </w:p>
    <w:p w14:paraId="69F443BA" w14:textId="30963A83" w:rsidR="00231506" w:rsidRDefault="00231506" w:rsidP="00315520">
      <w:r>
        <w:t xml:space="preserve">For suppliers of WELS products using e-commerce platforms, </w:t>
      </w:r>
      <w:r w:rsidR="00BD538D">
        <w:t>we will communicate</w:t>
      </w:r>
      <w:r w:rsidR="00811789">
        <w:t xml:space="preserve"> primarily</w:t>
      </w:r>
      <w:r w:rsidR="00BD538D">
        <w:t xml:space="preserve"> </w:t>
      </w:r>
      <w:r>
        <w:t>via platform messaging system</w:t>
      </w:r>
      <w:r w:rsidR="00454950">
        <w:t>s where available</w:t>
      </w:r>
      <w:r w:rsidR="00BD538D">
        <w:t xml:space="preserve">. The </w:t>
      </w:r>
      <w:r>
        <w:t xml:space="preserve">non-compliant </w:t>
      </w:r>
      <w:r w:rsidR="00BD538D">
        <w:t>seller</w:t>
      </w:r>
      <w:r>
        <w:t>s</w:t>
      </w:r>
      <w:r w:rsidR="00BD538D">
        <w:t xml:space="preserve"> will be given time to correct any non-compliance and to communicate with the WELS Regulator </w:t>
      </w:r>
      <w:r w:rsidR="00F867A9">
        <w:t xml:space="preserve">about </w:t>
      </w:r>
      <w:r w:rsidR="00BD538D">
        <w:t xml:space="preserve">their circumstances. </w:t>
      </w:r>
    </w:p>
    <w:p w14:paraId="33CD98DF" w14:textId="7E29E2FD" w:rsidR="00276F9D" w:rsidRPr="009922A8" w:rsidRDefault="00231506" w:rsidP="00315520">
      <w:r>
        <w:t xml:space="preserve">When non-compliance remains unresolved after a specified period, </w:t>
      </w:r>
      <w:r w:rsidR="00BD538D">
        <w:t>the WELS Regulator, in collaboration with the e</w:t>
      </w:r>
      <w:r w:rsidR="00494C91">
        <w:t>-</w:t>
      </w:r>
      <w:r w:rsidR="00BD538D">
        <w:t>commerce provider, will consider escalat</w:t>
      </w:r>
      <w:r w:rsidR="00811789">
        <w:t>ed</w:t>
      </w:r>
      <w:r w:rsidR="00BD538D">
        <w:t xml:space="preserve"> actions</w:t>
      </w:r>
      <w:r>
        <w:t>.</w:t>
      </w:r>
      <w:r w:rsidR="00BD538D">
        <w:t xml:space="preserve"> </w:t>
      </w:r>
      <w:r>
        <w:t xml:space="preserve">Depending on </w:t>
      </w:r>
      <w:r w:rsidR="00811789">
        <w:t xml:space="preserve">the </w:t>
      </w:r>
      <w:r>
        <w:t>scale of</w:t>
      </w:r>
      <w:r w:rsidR="00811789">
        <w:t xml:space="preserve"> the</w:t>
      </w:r>
      <w:r>
        <w:t xml:space="preserve"> non-compliance and </w:t>
      </w:r>
      <w:r w:rsidR="00811789">
        <w:t xml:space="preserve">the </w:t>
      </w:r>
      <w:r>
        <w:t xml:space="preserve">significance, </w:t>
      </w:r>
      <w:r w:rsidR="00BD538D">
        <w:t xml:space="preserve">product listings </w:t>
      </w:r>
      <w:r>
        <w:t xml:space="preserve">may be removed </w:t>
      </w:r>
      <w:r w:rsidRPr="00006ACE">
        <w:t>and</w:t>
      </w:r>
      <w:r w:rsidR="00BD538D" w:rsidRPr="00006ACE">
        <w:t xml:space="preserve"> </w:t>
      </w:r>
      <w:r w:rsidR="00FA1CEA" w:rsidRPr="00006ACE">
        <w:t xml:space="preserve">a </w:t>
      </w:r>
      <w:r w:rsidR="00BD538D" w:rsidRPr="00006ACE">
        <w:t xml:space="preserve">seller’s </w:t>
      </w:r>
      <w:r w:rsidR="00BD538D" w:rsidRPr="009922A8">
        <w:t>account on the platform</w:t>
      </w:r>
      <w:r w:rsidRPr="009922A8">
        <w:t xml:space="preserve"> may be restricted</w:t>
      </w:r>
      <w:r w:rsidR="00BD538D" w:rsidRPr="009922A8">
        <w:t xml:space="preserve">. </w:t>
      </w:r>
      <w:r w:rsidR="00276F9D" w:rsidRPr="009922A8">
        <w:t xml:space="preserve">The WELS Regulator may also issue a warning letter. </w:t>
      </w:r>
    </w:p>
    <w:p w14:paraId="72A09EE1" w14:textId="03B1FAEF" w:rsidR="00D44F6C" w:rsidRDefault="00BD538D" w:rsidP="00315520">
      <w:r w:rsidRPr="009922A8">
        <w:t>The e</w:t>
      </w:r>
      <w:r w:rsidR="00494C91" w:rsidRPr="009922A8">
        <w:t>-</w:t>
      </w:r>
      <w:r w:rsidRPr="009922A8">
        <w:t xml:space="preserve">commerce provider may </w:t>
      </w:r>
      <w:r w:rsidR="00454950" w:rsidRPr="009922A8">
        <w:t>apply</w:t>
      </w:r>
      <w:r w:rsidRPr="009922A8">
        <w:t xml:space="preserve"> </w:t>
      </w:r>
      <w:r w:rsidR="00811789" w:rsidRPr="009922A8">
        <w:t xml:space="preserve">their </w:t>
      </w:r>
      <w:r w:rsidRPr="009922A8">
        <w:t xml:space="preserve">own </w:t>
      </w:r>
      <w:r w:rsidR="00231506" w:rsidRPr="009922A8">
        <w:t>measures</w:t>
      </w:r>
      <w:r w:rsidR="00454950" w:rsidRPr="009922A8">
        <w:t xml:space="preserve"> to manage non</w:t>
      </w:r>
      <w:r w:rsidR="00454950" w:rsidRPr="009922A8">
        <w:noBreakHyphen/>
        <w:t>compliance in addition to the WELS Regulator’s sanctions</w:t>
      </w:r>
      <w:r w:rsidR="00231506" w:rsidRPr="009922A8">
        <w:t xml:space="preserve">. </w:t>
      </w:r>
      <w:r w:rsidR="00454950" w:rsidRPr="009922A8">
        <w:t xml:space="preserve">For example, if </w:t>
      </w:r>
      <w:r w:rsidRPr="009922A8">
        <w:t xml:space="preserve">a seller breaches </w:t>
      </w:r>
      <w:r w:rsidR="00231506" w:rsidRPr="009922A8">
        <w:t>e</w:t>
      </w:r>
      <w:r w:rsidR="00404655" w:rsidRPr="009922A8">
        <w:noBreakHyphen/>
      </w:r>
      <w:r w:rsidR="00231506" w:rsidRPr="009922A8">
        <w:t xml:space="preserve">commerce platform </w:t>
      </w:r>
      <w:r w:rsidRPr="009922A8">
        <w:t xml:space="preserve">policies, </w:t>
      </w:r>
      <w:r w:rsidR="00FA1CEA" w:rsidRPr="009922A8">
        <w:t xml:space="preserve">a </w:t>
      </w:r>
      <w:r w:rsidR="00231506" w:rsidRPr="00006ACE">
        <w:t>seller</w:t>
      </w:r>
      <w:r w:rsidR="00FA1CEA" w:rsidRPr="00006ACE">
        <w:t>’s</w:t>
      </w:r>
      <w:r w:rsidR="00231506" w:rsidRPr="00006ACE">
        <w:t xml:space="preserve"> account may be</w:t>
      </w:r>
      <w:r w:rsidRPr="00006ACE">
        <w:t xml:space="preserve"> </w:t>
      </w:r>
      <w:r w:rsidR="00454950" w:rsidRPr="00006ACE">
        <w:t>restricted</w:t>
      </w:r>
      <w:r w:rsidR="00454950" w:rsidRPr="009922A8">
        <w:t xml:space="preserve"> </w:t>
      </w:r>
      <w:r w:rsidRPr="009922A8">
        <w:t>or disabl</w:t>
      </w:r>
      <w:r w:rsidR="00231506" w:rsidRPr="009922A8">
        <w:t>ed</w:t>
      </w:r>
      <w:r w:rsidRPr="009922A8">
        <w:t>.</w:t>
      </w:r>
      <w:r w:rsidR="00D44F6C" w:rsidRPr="00D44F6C">
        <w:t xml:space="preserve"> </w:t>
      </w:r>
    </w:p>
    <w:p w14:paraId="46F0AF12" w14:textId="1B696F2C" w:rsidR="00315520" w:rsidRDefault="00276F9D" w:rsidP="00276F9D">
      <w:r>
        <w:t xml:space="preserve">For </w:t>
      </w:r>
      <w:r w:rsidR="0004723E">
        <w:t>ongoing or major noncompliance</w:t>
      </w:r>
      <w:r>
        <w:t>, t</w:t>
      </w:r>
      <w:r w:rsidR="00231506">
        <w:t xml:space="preserve">he WELS </w:t>
      </w:r>
      <w:r>
        <w:t>R</w:t>
      </w:r>
      <w:r w:rsidR="00231506">
        <w:t>egulator may escalate to enforcement actions, without using administrative measures</w:t>
      </w:r>
      <w:r w:rsidR="00AC6DF6">
        <w:t xml:space="preserve"> first</w:t>
      </w:r>
      <w:r w:rsidR="00231506">
        <w:t>.</w:t>
      </w:r>
      <w:r w:rsidR="00454950">
        <w:t xml:space="preserve"> This supports our holistic approach to managing compliance, including where non-compliant sellers create new accounts to continue non-compliant trading.</w:t>
      </w:r>
    </w:p>
    <w:p w14:paraId="1A792DC4" w14:textId="35C041B4" w:rsidR="00315520" w:rsidRDefault="00BD538D" w:rsidP="000509C8">
      <w:pPr>
        <w:pStyle w:val="Heading3"/>
      </w:pPr>
      <w:bookmarkStart w:id="42" w:name="_Toc117609189"/>
      <w:r>
        <w:t>Responding to non-</w:t>
      </w:r>
      <w:r w:rsidRPr="000509C8">
        <w:t>compliance</w:t>
      </w:r>
      <w:r>
        <w:t xml:space="preserve"> </w:t>
      </w:r>
      <w:r w:rsidR="00F867A9">
        <w:t>–</w:t>
      </w:r>
      <w:r w:rsidRPr="00F867A9">
        <w:t xml:space="preserve"> enforcement</w:t>
      </w:r>
      <w:r>
        <w:t xml:space="preserve"> actions</w:t>
      </w:r>
      <w:bookmarkEnd w:id="42"/>
    </w:p>
    <w:p w14:paraId="6A867DBB" w14:textId="24BB2DF8" w:rsidR="00EC3A7D" w:rsidRDefault="00956197" w:rsidP="00315520">
      <w:r>
        <w:rPr>
          <w:noProof/>
        </w:rPr>
        <w:drawing>
          <wp:anchor distT="0" distB="0" distL="114300" distR="114300" simplePos="0" relativeHeight="251662336" behindDoc="0" locked="0" layoutInCell="1" allowOverlap="1" wp14:anchorId="62A6F177" wp14:editId="7A6C73F9">
            <wp:simplePos x="0" y="0"/>
            <wp:positionH relativeFrom="column">
              <wp:posOffset>1905</wp:posOffset>
            </wp:positionH>
            <wp:positionV relativeFrom="paragraph">
              <wp:posOffset>40843</wp:posOffset>
            </wp:positionV>
            <wp:extent cx="914400" cy="914400"/>
            <wp:effectExtent l="0" t="0" r="0" b="0"/>
            <wp:wrapSquare wrapText="bothSides"/>
            <wp:docPr id="17" name="Graphic 17" descr="Police femal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Police female outline"/>
                    <pic:cNvPicPr/>
                  </pic:nvPicPr>
                  <pic:blipFill>
                    <a:blip r:embed="rId32">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530E66">
        <w:t>Enforcement may be necessary</w:t>
      </w:r>
      <w:r w:rsidR="0004723E">
        <w:t xml:space="preserve"> for a range of reasons including</w:t>
      </w:r>
      <w:r w:rsidR="00530E66">
        <w:t xml:space="preserve"> disrupt</w:t>
      </w:r>
      <w:r w:rsidR="0004723E">
        <w:t>ing</w:t>
      </w:r>
      <w:r w:rsidR="00530E66">
        <w:t xml:space="preserve"> </w:t>
      </w:r>
      <w:r w:rsidR="0004723E">
        <w:t xml:space="preserve">ongoing </w:t>
      </w:r>
      <w:r w:rsidR="00530E66">
        <w:t>non-compliant behaviour, minimis</w:t>
      </w:r>
      <w:r w:rsidR="0004723E">
        <w:t>ing</w:t>
      </w:r>
      <w:r w:rsidR="00530E66">
        <w:t xml:space="preserve"> harm being caused by serious non-compliance, protect</w:t>
      </w:r>
      <w:r w:rsidR="0004723E">
        <w:t>ing</w:t>
      </w:r>
      <w:r w:rsidR="00530E66">
        <w:t xml:space="preserve"> the integrity of the scheme, and to deter future non-compliance.</w:t>
      </w:r>
      <w:r w:rsidR="00BD538D">
        <w:t xml:space="preserve"> </w:t>
      </w:r>
    </w:p>
    <w:p w14:paraId="35DD8515" w14:textId="7D2EA048" w:rsidR="00315520" w:rsidRDefault="00530E66" w:rsidP="00315520">
      <w:r>
        <w:t xml:space="preserve">We may escalate to enforcement </w:t>
      </w:r>
      <w:r w:rsidR="0004723E">
        <w:t xml:space="preserve">actions </w:t>
      </w:r>
      <w:r>
        <w:t xml:space="preserve">where our initial administrative action did not achieve compliance. </w:t>
      </w:r>
      <w:r w:rsidR="0040465B">
        <w:t>D</w:t>
      </w:r>
      <w:r>
        <w:t>epending on the seriousness of the breach and culpability of the regulated entity</w:t>
      </w:r>
      <w:r w:rsidR="0040465B">
        <w:t>,</w:t>
      </w:r>
      <w:r>
        <w:t xml:space="preserve"> we may use enforcement measures to bring about compliance. </w:t>
      </w:r>
    </w:p>
    <w:p w14:paraId="4CFA3756" w14:textId="02544B4D" w:rsidR="00A55FC1" w:rsidRDefault="00A55FC1" w:rsidP="00315520">
      <w:r>
        <w:t>Broad and thematic non</w:t>
      </w:r>
      <w:r>
        <w:noBreakHyphen/>
        <w:t xml:space="preserve">compliance </w:t>
      </w:r>
      <w:r w:rsidR="0004723E">
        <w:t xml:space="preserve">activity </w:t>
      </w:r>
      <w:r>
        <w:t xml:space="preserve">that poses reputational risks to the scheme, the </w:t>
      </w:r>
      <w:r w:rsidR="0004723E">
        <w:t>g</w:t>
      </w:r>
      <w:r>
        <w:t>overnment and</w:t>
      </w:r>
      <w:r w:rsidR="0004723E">
        <w:t xml:space="preserve"> to </w:t>
      </w:r>
      <w:r>
        <w:t xml:space="preserve">industry may require resolution via court action and to serve as </w:t>
      </w:r>
      <w:r w:rsidR="0004723E">
        <w:t xml:space="preserve">a </w:t>
      </w:r>
      <w:r>
        <w:t xml:space="preserve">deterrent. </w:t>
      </w:r>
      <w:r>
        <w:lastRenderedPageBreak/>
        <w:t>The WELS Regulator has the power to publicise contraventions of the WELS Act and such information will be made public.</w:t>
      </w:r>
    </w:p>
    <w:p w14:paraId="21C55D73" w14:textId="1625653F" w:rsidR="00530E66" w:rsidRDefault="00BD538D" w:rsidP="00315520">
      <w:r>
        <w:t xml:space="preserve">Part 8 of the WELS Act sets out the range of enforcement options. </w:t>
      </w:r>
      <w:r w:rsidR="0031014F" w:rsidRPr="009420E8">
        <w:t xml:space="preserve">The Criminal Code </w:t>
      </w:r>
      <w:r w:rsidR="0031014F">
        <w:t xml:space="preserve">also </w:t>
      </w:r>
      <w:r w:rsidR="0031014F" w:rsidRPr="009420E8">
        <w:t xml:space="preserve">applies to </w:t>
      </w:r>
      <w:r w:rsidR="0031014F">
        <w:t xml:space="preserve">all </w:t>
      </w:r>
      <w:r w:rsidR="00530E66">
        <w:t xml:space="preserve">strict liability </w:t>
      </w:r>
      <w:r w:rsidR="0031014F" w:rsidRPr="009420E8">
        <w:t>offences against the WELS Act</w:t>
      </w:r>
      <w:r w:rsidR="0031014F">
        <w:t xml:space="preserve">. </w:t>
      </w:r>
      <w:r w:rsidR="009922A8">
        <w:t xml:space="preserve">These </w:t>
      </w:r>
      <w:r w:rsidR="009922A8" w:rsidRPr="009922A8">
        <w:t>are offences that a person can be found guilty of even if they did not intend to commit them</w:t>
      </w:r>
      <w:r w:rsidR="009922A8">
        <w:t>.</w:t>
      </w:r>
      <w:r w:rsidR="009922A8" w:rsidRPr="009922A8">
        <w:t xml:space="preserve"> </w:t>
      </w:r>
      <w:r w:rsidR="009922A8">
        <w:t xml:space="preserve">This means </w:t>
      </w:r>
      <w:r w:rsidR="009922A8" w:rsidRPr="009922A8">
        <w:t xml:space="preserve">that in criminal proceedings, the prosecution does not need to prove that the accused sought to commit a crime – only that a crime was, in fact, </w:t>
      </w:r>
      <w:proofErr w:type="gramStart"/>
      <w:r w:rsidR="009922A8" w:rsidRPr="009922A8">
        <w:t>committed.</w:t>
      </w:r>
      <w:r w:rsidR="00530E66">
        <w:t>.</w:t>
      </w:r>
      <w:proofErr w:type="gramEnd"/>
      <w:r w:rsidR="006106A6">
        <w:t xml:space="preserve"> The Regulator will work with the Commonwealth Director of Public Prosecutions on any criminal matters.</w:t>
      </w:r>
    </w:p>
    <w:p w14:paraId="0E47380B" w14:textId="03AF4382" w:rsidR="00315520" w:rsidRDefault="00BD538D" w:rsidP="00315520">
      <w:r>
        <w:t>In deciding which enforcement action to take, we apply a risk-based</w:t>
      </w:r>
      <w:r w:rsidR="00530E66">
        <w:t xml:space="preserve"> and</w:t>
      </w:r>
      <w:r>
        <w:t xml:space="preserve"> proportionate approach</w:t>
      </w:r>
      <w:r w:rsidR="00530E66">
        <w:t>. We</w:t>
      </w:r>
      <w:r>
        <w:t xml:space="preserve"> consider a range of factors. W</w:t>
      </w:r>
      <w:r w:rsidR="00530E66">
        <w:t>e</w:t>
      </w:r>
      <w:r>
        <w:t xml:space="preserve"> evaluat</w:t>
      </w:r>
      <w:r w:rsidR="00530E66">
        <w:t>e</w:t>
      </w:r>
      <w:r>
        <w:t xml:space="preserve"> potential breaches and conduct investigations </w:t>
      </w:r>
      <w:r w:rsidR="00530E66">
        <w:t>in accordance with the</w:t>
      </w:r>
      <w:r>
        <w:t xml:space="preserve"> </w:t>
      </w:r>
      <w:r w:rsidRPr="00414EA3">
        <w:rPr>
          <w:rStyle w:val="Emphasis"/>
        </w:rPr>
        <w:t>Australian Government Investigations Standards</w:t>
      </w:r>
      <w:r>
        <w:t xml:space="preserve"> (AGIS).</w:t>
      </w:r>
    </w:p>
    <w:p w14:paraId="5D3DC76D" w14:textId="577E897A" w:rsidR="00315520" w:rsidRDefault="00530E66" w:rsidP="00315520">
      <w:r>
        <w:t>The Regulator may apply one of the following enforcement measures</w:t>
      </w:r>
      <w:r w:rsidR="00BD538D">
        <w:t>:</w:t>
      </w:r>
    </w:p>
    <w:p w14:paraId="26187ABD" w14:textId="06EBC429" w:rsidR="00315520" w:rsidRDefault="003E7D35" w:rsidP="00414EA3">
      <w:pPr>
        <w:pStyle w:val="ListBullet"/>
      </w:pPr>
      <w:r w:rsidRPr="00E54D8F">
        <w:rPr>
          <w:b/>
          <w:bCs/>
        </w:rPr>
        <w:t>compliance audit</w:t>
      </w:r>
      <w:r>
        <w:t xml:space="preserve"> </w:t>
      </w:r>
      <w:r w:rsidR="00BD538D">
        <w:t xml:space="preserve">– </w:t>
      </w:r>
      <w:r>
        <w:t xml:space="preserve">a notice requiring a person to undertake an audit </w:t>
      </w:r>
      <w:r w:rsidR="00CB4CDD">
        <w:t xml:space="preserve">to confirm </w:t>
      </w:r>
      <w:r>
        <w:t>their compliance with the WELS Act and to provide a written report setting out the results of the audit</w:t>
      </w:r>
    </w:p>
    <w:p w14:paraId="14296BD8" w14:textId="27982DFB" w:rsidR="00315520" w:rsidRDefault="00BD538D" w:rsidP="00414EA3">
      <w:pPr>
        <w:pStyle w:val="ListBullet"/>
      </w:pPr>
      <w:r w:rsidRPr="00E54D8F">
        <w:rPr>
          <w:b/>
          <w:bCs/>
        </w:rPr>
        <w:t>r</w:t>
      </w:r>
      <w:r w:rsidR="003E7D35" w:rsidRPr="00E54D8F">
        <w:rPr>
          <w:b/>
          <w:bCs/>
        </w:rPr>
        <w:t>emedial action</w:t>
      </w:r>
      <w:r w:rsidR="003E7D35">
        <w:t xml:space="preserve"> </w:t>
      </w:r>
      <w:r>
        <w:t xml:space="preserve">– </w:t>
      </w:r>
      <w:r w:rsidR="003E7D35">
        <w:t xml:space="preserve">a notice requiring a person to take action </w:t>
      </w:r>
      <w:r w:rsidR="00EC3A7D">
        <w:t xml:space="preserve">to </w:t>
      </w:r>
      <w:r w:rsidR="003E7D35">
        <w:t>remedy non</w:t>
      </w:r>
      <w:r w:rsidR="00EC3A7D">
        <w:noBreakHyphen/>
      </w:r>
      <w:r w:rsidR="003E7D35">
        <w:t xml:space="preserve">compliant </w:t>
      </w:r>
      <w:r w:rsidR="00EC3A7D">
        <w:t>behaviour</w:t>
      </w:r>
      <w:r w:rsidR="003E7D35">
        <w:t xml:space="preserve"> or prevent it in the future</w:t>
      </w:r>
    </w:p>
    <w:p w14:paraId="141B0661" w14:textId="76D967EB" w:rsidR="00315520" w:rsidRDefault="00BD538D" w:rsidP="00414EA3">
      <w:pPr>
        <w:pStyle w:val="ListBullet"/>
      </w:pPr>
      <w:r w:rsidRPr="00E54D8F">
        <w:rPr>
          <w:b/>
          <w:bCs/>
        </w:rPr>
        <w:t>i</w:t>
      </w:r>
      <w:r w:rsidR="003E7D35" w:rsidRPr="00E54D8F">
        <w:rPr>
          <w:b/>
          <w:bCs/>
        </w:rPr>
        <w:t>nfringement</w:t>
      </w:r>
      <w:r w:rsidR="003E7D35">
        <w:t xml:space="preserve"> </w:t>
      </w:r>
      <w:r>
        <w:t xml:space="preserve">– </w:t>
      </w:r>
      <w:r w:rsidR="00CB4CDD">
        <w:t xml:space="preserve">a notice requiring a person to pay a penalty for a </w:t>
      </w:r>
      <w:r w:rsidR="00EC3A7D">
        <w:t>breach</w:t>
      </w:r>
      <w:r w:rsidR="00CB4CDD">
        <w:t xml:space="preserve"> as an alternative to prosecution or </w:t>
      </w:r>
      <w:r w:rsidR="0004723E">
        <w:t xml:space="preserve">a </w:t>
      </w:r>
      <w:r w:rsidR="00CB4CDD">
        <w:t>civil penalty order</w:t>
      </w:r>
      <w:r w:rsidR="0004723E">
        <w:t xml:space="preserve"> issued</w:t>
      </w:r>
      <w:r w:rsidR="00CB4CDD">
        <w:t xml:space="preserve"> through </w:t>
      </w:r>
      <w:r w:rsidR="0004723E">
        <w:t xml:space="preserve">a </w:t>
      </w:r>
      <w:r w:rsidR="00CB4CDD">
        <w:t xml:space="preserve">court. </w:t>
      </w:r>
      <w:r w:rsidR="0004723E">
        <w:t xml:space="preserve">Refer to </w:t>
      </w:r>
      <w:r w:rsidR="003E7D35">
        <w:t xml:space="preserve">the </w:t>
      </w:r>
      <w:r w:rsidR="00EC3A7D">
        <w:t>WELS</w:t>
      </w:r>
      <w:r w:rsidR="003E7D35" w:rsidRPr="0077480D">
        <w:t xml:space="preserve"> </w:t>
      </w:r>
      <w:hyperlink r:id="rId34" w:history="1">
        <w:r w:rsidR="003E7D35" w:rsidRPr="00CA2200">
          <w:rPr>
            <w:rStyle w:val="Hyperlink"/>
          </w:rPr>
          <w:t>Infringement Notice Statement</w:t>
        </w:r>
      </w:hyperlink>
      <w:r w:rsidR="0004723E">
        <w:rPr>
          <w:rStyle w:val="Hyperlink"/>
        </w:rPr>
        <w:t xml:space="preserve"> for more information.</w:t>
      </w:r>
    </w:p>
    <w:p w14:paraId="6BD06099" w14:textId="0AE79A42" w:rsidR="00315520" w:rsidRDefault="00BD538D" w:rsidP="00414EA3">
      <w:pPr>
        <w:pStyle w:val="ListBullet"/>
      </w:pPr>
      <w:r w:rsidRPr="00E54D8F">
        <w:rPr>
          <w:b/>
          <w:bCs/>
        </w:rPr>
        <w:t>e</w:t>
      </w:r>
      <w:r w:rsidR="003E7D35" w:rsidRPr="00E54D8F">
        <w:rPr>
          <w:b/>
          <w:bCs/>
        </w:rPr>
        <w:t>nforceable undertaking</w:t>
      </w:r>
      <w:r w:rsidR="003E7D35">
        <w:t xml:space="preserve"> </w:t>
      </w:r>
      <w:r>
        <w:t xml:space="preserve">– </w:t>
      </w:r>
      <w:r w:rsidR="003E7D35">
        <w:t xml:space="preserve">a written </w:t>
      </w:r>
      <w:r w:rsidR="00CB4CDD">
        <w:t xml:space="preserve">legally binding agreement </w:t>
      </w:r>
      <w:r w:rsidR="003E7D35">
        <w:t xml:space="preserve">by a person to take actions to </w:t>
      </w:r>
      <w:r w:rsidR="0011166A">
        <w:t>correct</w:t>
      </w:r>
      <w:r w:rsidR="00CB4CDD">
        <w:t xml:space="preserve"> </w:t>
      </w:r>
      <w:r w:rsidR="0004723E">
        <w:t xml:space="preserve">their </w:t>
      </w:r>
      <w:r w:rsidR="0011166A">
        <w:t>non-compliance</w:t>
      </w:r>
      <w:r w:rsidR="00CB4CDD">
        <w:t xml:space="preserve"> </w:t>
      </w:r>
      <w:r w:rsidR="003E7D35">
        <w:t xml:space="preserve">and </w:t>
      </w:r>
      <w:r w:rsidR="0004723E">
        <w:t xml:space="preserve">to </w:t>
      </w:r>
      <w:r w:rsidR="0011166A">
        <w:t>stop future non-compliance</w:t>
      </w:r>
    </w:p>
    <w:p w14:paraId="3416B19D" w14:textId="1AD71B41" w:rsidR="00315520" w:rsidRDefault="00BD538D" w:rsidP="00414EA3">
      <w:pPr>
        <w:pStyle w:val="ListBullet"/>
      </w:pPr>
      <w:r w:rsidRPr="00E54D8F">
        <w:rPr>
          <w:b/>
          <w:bCs/>
        </w:rPr>
        <w:t>i</w:t>
      </w:r>
      <w:r w:rsidR="003E7D35" w:rsidRPr="00E54D8F">
        <w:rPr>
          <w:b/>
          <w:bCs/>
        </w:rPr>
        <w:t>njunction</w:t>
      </w:r>
      <w:r w:rsidR="003E7D35">
        <w:t xml:space="preserve"> </w:t>
      </w:r>
      <w:r w:rsidR="00181A1D">
        <w:t>– a</w:t>
      </w:r>
      <w:r w:rsidR="00C80134">
        <w:t xml:space="preserve"> c</w:t>
      </w:r>
      <w:r w:rsidR="003E7D35">
        <w:t xml:space="preserve">ourt </w:t>
      </w:r>
      <w:r w:rsidR="00C80134">
        <w:t xml:space="preserve">order </w:t>
      </w:r>
      <w:r w:rsidR="0011166A">
        <w:t xml:space="preserve">stopping </w:t>
      </w:r>
      <w:r w:rsidR="00CA2200">
        <w:t>a</w:t>
      </w:r>
      <w:r w:rsidR="002716FF">
        <w:t>n entity</w:t>
      </w:r>
      <w:r w:rsidR="0011166A">
        <w:t xml:space="preserve"> from </w:t>
      </w:r>
      <w:proofErr w:type="gramStart"/>
      <w:r w:rsidR="0011166A">
        <w:t>taking action</w:t>
      </w:r>
      <w:proofErr w:type="gramEnd"/>
      <w:r w:rsidR="003E7D35">
        <w:t xml:space="preserve"> or requiring </w:t>
      </w:r>
      <w:r w:rsidR="00CA2200">
        <w:t>a</w:t>
      </w:r>
      <w:r w:rsidR="003E7D35">
        <w:t xml:space="preserve"> person to take action</w:t>
      </w:r>
    </w:p>
    <w:p w14:paraId="1037DDAD" w14:textId="1AE5B14E" w:rsidR="00315520" w:rsidRDefault="00BD538D" w:rsidP="00414EA3">
      <w:pPr>
        <w:pStyle w:val="ListBullet"/>
      </w:pPr>
      <w:r w:rsidRPr="00E54D8F">
        <w:rPr>
          <w:b/>
          <w:bCs/>
        </w:rPr>
        <w:t>c</w:t>
      </w:r>
      <w:r w:rsidR="003E7D35" w:rsidRPr="00E54D8F">
        <w:rPr>
          <w:b/>
          <w:bCs/>
        </w:rPr>
        <w:t xml:space="preserve">ivil </w:t>
      </w:r>
      <w:r w:rsidR="003A493D" w:rsidRPr="00E54D8F">
        <w:rPr>
          <w:b/>
          <w:bCs/>
        </w:rPr>
        <w:t>penalt</w:t>
      </w:r>
      <w:r w:rsidR="00E254B3" w:rsidRPr="00E54D8F">
        <w:rPr>
          <w:b/>
          <w:bCs/>
        </w:rPr>
        <w:t>y</w:t>
      </w:r>
      <w:r w:rsidR="003A493D">
        <w:t xml:space="preserve"> </w:t>
      </w:r>
      <w:r>
        <w:t>–</w:t>
      </w:r>
      <w:r w:rsidR="00C80134">
        <w:t xml:space="preserve"> </w:t>
      </w:r>
      <w:r w:rsidR="003E7D35">
        <w:t xml:space="preserve">a court order </w:t>
      </w:r>
      <w:r w:rsidR="00C80134">
        <w:t>to</w:t>
      </w:r>
      <w:r w:rsidR="003E7D35">
        <w:t xml:space="preserve"> pay the Commonwealth</w:t>
      </w:r>
      <w:r w:rsidR="003A493D">
        <w:t>,</w:t>
      </w:r>
      <w:r w:rsidR="00591A44">
        <w:t xml:space="preserve"> </w:t>
      </w:r>
      <w:proofErr w:type="gramStart"/>
      <w:r w:rsidR="003A493D">
        <w:t>as a result of</w:t>
      </w:r>
      <w:proofErr w:type="gramEnd"/>
      <w:r w:rsidR="003A493D">
        <w:t xml:space="preserve"> civil proceedings</w:t>
      </w:r>
    </w:p>
    <w:p w14:paraId="106E2C42" w14:textId="1B81C343" w:rsidR="007E30A2" w:rsidRDefault="00BD538D" w:rsidP="00497DCD">
      <w:pPr>
        <w:pStyle w:val="ListBullet"/>
      </w:pPr>
      <w:r w:rsidRPr="00E54D8F">
        <w:rPr>
          <w:b/>
          <w:bCs/>
        </w:rPr>
        <w:t>c</w:t>
      </w:r>
      <w:r w:rsidR="003E7D35" w:rsidRPr="00E54D8F">
        <w:rPr>
          <w:b/>
          <w:bCs/>
        </w:rPr>
        <w:t>riminal prosecution</w:t>
      </w:r>
      <w:r w:rsidR="003E7D35">
        <w:t xml:space="preserve"> </w:t>
      </w:r>
      <w:r>
        <w:t xml:space="preserve">– </w:t>
      </w:r>
      <w:r w:rsidR="003A493D">
        <w:t xml:space="preserve">a </w:t>
      </w:r>
      <w:r w:rsidR="00C80134">
        <w:t xml:space="preserve">legal </w:t>
      </w:r>
      <w:r w:rsidR="0011166A">
        <w:t>action</w:t>
      </w:r>
      <w:r w:rsidR="00C80134">
        <w:t xml:space="preserve"> in respect to </w:t>
      </w:r>
      <w:r w:rsidR="003A493D">
        <w:t xml:space="preserve">a person that could result in imprisonment for </w:t>
      </w:r>
      <w:r w:rsidR="00C80134">
        <w:t>a</w:t>
      </w:r>
      <w:r w:rsidR="003A493D">
        <w:t xml:space="preserve"> committed</w:t>
      </w:r>
      <w:r w:rsidR="00C80134">
        <w:t xml:space="preserve"> crim</w:t>
      </w:r>
      <w:r w:rsidR="0011166A">
        <w:t>e</w:t>
      </w:r>
      <w:r w:rsidR="000C0065">
        <w:t>.</w:t>
      </w:r>
    </w:p>
    <w:p w14:paraId="6DA4A6A2" w14:textId="77777777" w:rsidR="00315520" w:rsidRDefault="00BD538D" w:rsidP="002B6747">
      <w:pPr>
        <w:pStyle w:val="Heading2"/>
        <w:pageBreakBefore w:val="0"/>
        <w:spacing w:before="240"/>
      </w:pPr>
      <w:bookmarkStart w:id="43" w:name="_Toc117609190"/>
      <w:r w:rsidRPr="002B6747">
        <w:rPr>
          <w:bCs w:val="0"/>
        </w:rPr>
        <w:t>Information disclosure</w:t>
      </w:r>
      <w:bookmarkEnd w:id="43"/>
    </w:p>
    <w:p w14:paraId="5B05C6AC" w14:textId="031DE7FF" w:rsidR="004F0074" w:rsidRDefault="00BD538D" w:rsidP="00315520">
      <w:r>
        <w:t xml:space="preserve">Information </w:t>
      </w:r>
      <w:r w:rsidR="00BA597B">
        <w:t xml:space="preserve">we </w:t>
      </w:r>
      <w:r>
        <w:t xml:space="preserve">receive from the public about alleged non-compliance will be handled in a confidential manner. </w:t>
      </w:r>
      <w:r w:rsidR="004F0074">
        <w:t>Your personal information will be used and stored in accordance with the Australian Privacy Principles.</w:t>
      </w:r>
    </w:p>
    <w:p w14:paraId="609979B4" w14:textId="322F7A7B" w:rsidR="00315520" w:rsidRDefault="004F0074" w:rsidP="00315520">
      <w:r>
        <w:t>When required, w</w:t>
      </w:r>
      <w:r w:rsidR="00BA597B">
        <w:t>e may disclose p</w:t>
      </w:r>
      <w:r w:rsidR="00BD538D">
        <w:t xml:space="preserve">ersonal </w:t>
      </w:r>
      <w:r>
        <w:t>a</w:t>
      </w:r>
      <w:r w:rsidR="00BD538D">
        <w:t xml:space="preserve">nd other information held by us to other Australian government agencies, </w:t>
      </w:r>
      <w:r w:rsidR="008A21BC">
        <w:t>persons,</w:t>
      </w:r>
      <w:r w:rsidR="00BD538D">
        <w:t xml:space="preserve"> or organisations, provided the disclosure is consistent with relevant laws, in particular the </w:t>
      </w:r>
      <w:r w:rsidR="00BD538D" w:rsidRPr="00414EA3">
        <w:rPr>
          <w:rStyle w:val="Emphasis"/>
        </w:rPr>
        <w:t>Privacy Act 1988</w:t>
      </w:r>
      <w:r w:rsidR="00BD538D">
        <w:t xml:space="preserve"> (Cth). </w:t>
      </w:r>
    </w:p>
    <w:p w14:paraId="486A296F" w14:textId="6726F58D" w:rsidR="001406A6" w:rsidRDefault="001406A6" w:rsidP="001406A6">
      <w:r>
        <w:t>The WELS Regulator will</w:t>
      </w:r>
      <w:r w:rsidRPr="004F0074">
        <w:t xml:space="preserve"> not release </w:t>
      </w:r>
      <w:r w:rsidR="002716FF">
        <w:t xml:space="preserve">detailed </w:t>
      </w:r>
      <w:r w:rsidRPr="004F0074">
        <w:t xml:space="preserve">information about compliance and enforcement activities, such as current </w:t>
      </w:r>
      <w:r>
        <w:t xml:space="preserve">and ongoing </w:t>
      </w:r>
      <w:r w:rsidRPr="004F0074">
        <w:t xml:space="preserve">investigations, unless it is required by </w:t>
      </w:r>
      <w:r>
        <w:t xml:space="preserve">law or </w:t>
      </w:r>
      <w:r w:rsidR="00744E6D">
        <w:t xml:space="preserve">by </w:t>
      </w:r>
      <w:r w:rsidRPr="004F0074">
        <w:t>the investigative process.</w:t>
      </w:r>
      <w:r w:rsidR="002716FF">
        <w:t xml:space="preserve"> Summary information about compliance case work that does not identify the entities involved will be published as part of the WELS scheme Annual Report.</w:t>
      </w:r>
    </w:p>
    <w:p w14:paraId="7ADEDB1C" w14:textId="05D04EF6" w:rsidR="00315520" w:rsidRDefault="00BD538D" w:rsidP="00315520">
      <w:r>
        <w:lastRenderedPageBreak/>
        <w:t xml:space="preserve">Where we choose to release information to support our regulatory outcomes, </w:t>
      </w:r>
      <w:r w:rsidR="00BF1AA6">
        <w:t>we will do so</w:t>
      </w:r>
      <w:r>
        <w:t xml:space="preserve"> in accordance with our legal obligations</w:t>
      </w:r>
      <w:r w:rsidR="00BF1AA6">
        <w:t>.</w:t>
      </w:r>
      <w:r>
        <w:t xml:space="preserve"> </w:t>
      </w:r>
      <w:r w:rsidR="004F0074">
        <w:t>Division 2 of WELS Act</w:t>
      </w:r>
      <w:r>
        <w:t xml:space="preserve"> allows the WELS Regulator to publicise a conviction for an offence against the WELS Act.</w:t>
      </w:r>
    </w:p>
    <w:p w14:paraId="5288B084" w14:textId="23F6F238" w:rsidR="00315520" w:rsidRDefault="00BD538D" w:rsidP="00315520">
      <w:r>
        <w:t xml:space="preserve">We will ensure that any released information does not prejudice a person’s right to a fair hearing or legal </w:t>
      </w:r>
      <w:r w:rsidR="00DC59B3">
        <w:t>process or</w:t>
      </w:r>
      <w:r w:rsidR="00744E6D">
        <w:t xml:space="preserve"> </w:t>
      </w:r>
      <w:r>
        <w:t xml:space="preserve">impinge upon the safety of others involved in the investigation (such as complainants, </w:t>
      </w:r>
      <w:r w:rsidR="008A21BC">
        <w:t>witnesses,</w:t>
      </w:r>
      <w:r>
        <w:t xml:space="preserve"> and suspects) or prejudice any of our past or future activities.</w:t>
      </w:r>
    </w:p>
    <w:p w14:paraId="60E88ECB" w14:textId="1609C870" w:rsidR="00315520" w:rsidRDefault="00BD538D" w:rsidP="00315520">
      <w:r>
        <w:t xml:space="preserve">Requests for information, including from regulated entities, may be made under the </w:t>
      </w:r>
      <w:r w:rsidRPr="00414EA3">
        <w:rPr>
          <w:rStyle w:val="Emphasis"/>
        </w:rPr>
        <w:t>Freedom of Information Act 1982</w:t>
      </w:r>
      <w:r>
        <w:t xml:space="preserve">. For details about how to make a Freedom of Information (FOI) request, see </w:t>
      </w:r>
      <w:hyperlink r:id="rId35" w:anchor=":~:text=The%20Freedom%20of%20Information%20Act,access%20the%20information%20another%20way." w:history="1">
        <w:r w:rsidRPr="00C27EA6">
          <w:rPr>
            <w:rStyle w:val="Hyperlink"/>
          </w:rPr>
          <w:t>Freedom of Information</w:t>
        </w:r>
      </w:hyperlink>
      <w:r>
        <w:t>.</w:t>
      </w:r>
      <w:r w:rsidR="004F0074">
        <w:t xml:space="preserve"> E</w:t>
      </w:r>
      <w:r w:rsidR="004F0074" w:rsidRPr="004F0074">
        <w:t xml:space="preserve">ach FOI request </w:t>
      </w:r>
      <w:r w:rsidR="004F0074">
        <w:t xml:space="preserve">will be considered </w:t>
      </w:r>
      <w:r w:rsidR="004F0074" w:rsidRPr="004F0074">
        <w:t xml:space="preserve">on a case-by-case basis. </w:t>
      </w:r>
    </w:p>
    <w:p w14:paraId="54BAEF97" w14:textId="77777777" w:rsidR="00315520" w:rsidRDefault="00BD538D" w:rsidP="00A76A1B">
      <w:pPr>
        <w:pStyle w:val="Heading2"/>
        <w:pageBreakBefore w:val="0"/>
        <w:spacing w:before="240"/>
      </w:pPr>
      <w:bookmarkStart w:id="44" w:name="_Toc111817129"/>
      <w:bookmarkStart w:id="45" w:name="_Toc111817130"/>
      <w:bookmarkStart w:id="46" w:name="_Toc111817131"/>
      <w:bookmarkStart w:id="47" w:name="_Toc111817132"/>
      <w:bookmarkStart w:id="48" w:name="_Toc111817133"/>
      <w:bookmarkStart w:id="49" w:name="_Toc117609191"/>
      <w:bookmarkEnd w:id="44"/>
      <w:bookmarkEnd w:id="45"/>
      <w:bookmarkEnd w:id="46"/>
      <w:bookmarkEnd w:id="47"/>
      <w:bookmarkEnd w:id="48"/>
      <w:r>
        <w:t>Contact us</w:t>
      </w:r>
      <w:bookmarkEnd w:id="49"/>
    </w:p>
    <w:p w14:paraId="228658A3" w14:textId="5549B30A" w:rsidR="00315520" w:rsidRDefault="00BD538D" w:rsidP="00315520">
      <w:r>
        <w:t xml:space="preserve">For </w:t>
      </w:r>
      <w:r w:rsidR="00F867A9">
        <w:t>more</w:t>
      </w:r>
      <w:r>
        <w:t xml:space="preserve"> information on </w:t>
      </w:r>
      <w:r w:rsidR="00AB24DB" w:rsidRPr="00AB24DB">
        <w:t>our approach to compliance and enforcement</w:t>
      </w:r>
      <w:r w:rsidR="009C4BD8">
        <w:t>,</w:t>
      </w:r>
      <w:r w:rsidR="00AB24DB" w:rsidRPr="00AB24DB">
        <w:t xml:space="preserve"> or to report suspected non-compliance:</w:t>
      </w:r>
    </w:p>
    <w:p w14:paraId="75D0DB21" w14:textId="6695328B" w:rsidR="009C4BD8" w:rsidRDefault="009C4BD8" w:rsidP="009C4BD8">
      <w:pPr>
        <w:pStyle w:val="ListBullet"/>
      </w:pPr>
      <w:r>
        <w:t>visit our Water Rating website</w:t>
      </w:r>
      <w:r w:rsidR="00FA1CEA">
        <w:t xml:space="preserve"> waterrating.gov.au</w:t>
      </w:r>
      <w:r>
        <w:t>.</w:t>
      </w:r>
    </w:p>
    <w:p w14:paraId="6E9A5BAA" w14:textId="53B71AEB" w:rsidR="00315520" w:rsidRPr="00C27EA6" w:rsidRDefault="00BD538D" w:rsidP="00414EA3">
      <w:pPr>
        <w:pStyle w:val="ListBullet"/>
      </w:pPr>
      <w:r>
        <w:t xml:space="preserve">email </w:t>
      </w:r>
      <w:r w:rsidRPr="00C27EA6">
        <w:t>welscompliance@</w:t>
      </w:r>
      <w:r w:rsidR="00DC59B3" w:rsidRPr="00C27EA6">
        <w:t>dcceew</w:t>
      </w:r>
      <w:r w:rsidRPr="00C27EA6">
        <w:t>.gov.au</w:t>
      </w:r>
    </w:p>
    <w:p w14:paraId="52465ACF" w14:textId="2E5D1622" w:rsidR="00DA44BC" w:rsidRPr="00C27EA6" w:rsidRDefault="00483356" w:rsidP="009C4BD8">
      <w:pPr>
        <w:pStyle w:val="ListBullet"/>
      </w:pPr>
      <w:r w:rsidRPr="00C27EA6">
        <w:t xml:space="preserve">Toll-free call </w:t>
      </w:r>
      <w:r w:rsidR="009C4BD8" w:rsidRPr="00C27EA6">
        <w:t xml:space="preserve">WELS Compliance </w:t>
      </w:r>
      <w:r w:rsidR="00DA44BC" w:rsidRPr="00C27EA6">
        <w:t xml:space="preserve">on </w:t>
      </w:r>
      <w:r w:rsidR="009C4BD8" w:rsidRPr="00C27EA6">
        <w:t xml:space="preserve">1800 372 746 </w:t>
      </w:r>
      <w:r w:rsidR="00DA44BC" w:rsidRPr="00C27EA6">
        <w:t>(</w:t>
      </w:r>
      <w:r w:rsidRPr="00C27EA6">
        <w:t xml:space="preserve">International </w:t>
      </w:r>
      <w:r w:rsidR="009C4BD8" w:rsidRPr="00C27EA6">
        <w:t>+61 2 6272 5232).</w:t>
      </w:r>
    </w:p>
    <w:p w14:paraId="7D0F41BE" w14:textId="77777777" w:rsidR="00180905" w:rsidRPr="00C27EA6" w:rsidRDefault="00180905">
      <w:pPr>
        <w:pStyle w:val="ListBullet"/>
        <w:numPr>
          <w:ilvl w:val="0"/>
          <w:numId w:val="0"/>
        </w:numPr>
        <w:ind w:left="425" w:hanging="425"/>
      </w:pPr>
    </w:p>
    <w:p w14:paraId="0AE73EAD" w14:textId="6E5857BA" w:rsidR="00DA44BC" w:rsidRPr="00C27EA6" w:rsidRDefault="00DA44BC" w:rsidP="00497DCD">
      <w:pPr>
        <w:pStyle w:val="ListBullet"/>
        <w:numPr>
          <w:ilvl w:val="0"/>
          <w:numId w:val="0"/>
        </w:numPr>
        <w:ind w:left="425" w:hanging="425"/>
      </w:pPr>
      <w:r w:rsidRPr="00C27EA6">
        <w:t>For more information on registrations:</w:t>
      </w:r>
    </w:p>
    <w:p w14:paraId="3E878C34" w14:textId="32909BA3" w:rsidR="00DA44BC" w:rsidRPr="00C27EA6" w:rsidRDefault="00DA44BC" w:rsidP="00DA44BC">
      <w:pPr>
        <w:pStyle w:val="ListBullet"/>
      </w:pPr>
      <w:r w:rsidRPr="00C27EA6">
        <w:t>email wels@</w:t>
      </w:r>
      <w:r w:rsidR="00DC59B3" w:rsidRPr="00C27EA6">
        <w:t>dcceew</w:t>
      </w:r>
      <w:r w:rsidRPr="00C27EA6">
        <w:t>.gov.au</w:t>
      </w:r>
    </w:p>
    <w:p w14:paraId="7C864E26" w14:textId="5A513E51" w:rsidR="00DA44BC" w:rsidRDefault="00483356" w:rsidP="00DA44BC">
      <w:pPr>
        <w:pStyle w:val="ListBullet"/>
      </w:pPr>
      <w:r>
        <w:t>Toll-free c</w:t>
      </w:r>
      <w:r w:rsidR="00DA44BC">
        <w:t>all WELS Registrations on 1800 372 746 (</w:t>
      </w:r>
      <w:r>
        <w:t xml:space="preserve">International </w:t>
      </w:r>
      <w:r w:rsidR="00DA44BC">
        <w:t xml:space="preserve">+61 2 6272 </w:t>
      </w:r>
      <w:r w:rsidR="00BC31DE">
        <w:t>4030</w:t>
      </w:r>
      <w:r w:rsidR="00DA44BC">
        <w:t>).</w:t>
      </w:r>
    </w:p>
    <w:sectPr w:rsidR="00DA44BC" w:rsidSect="008164B0">
      <w:footerReference w:type="default" r:id="rId36"/>
      <w:pgSz w:w="11906" w:h="16838" w:code="9"/>
      <w:pgMar w:top="1418" w:right="1418" w:bottom="1276" w:left="1418" w:header="567"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859E3" w14:textId="77777777" w:rsidR="00E73408" w:rsidRDefault="00E73408">
      <w:pPr>
        <w:spacing w:after="0" w:line="240" w:lineRule="auto"/>
      </w:pPr>
      <w:r>
        <w:separator/>
      </w:r>
    </w:p>
  </w:endnote>
  <w:endnote w:type="continuationSeparator" w:id="0">
    <w:p w14:paraId="579F8AAC" w14:textId="77777777" w:rsidR="00E73408" w:rsidRDefault="00E73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11CA9" w14:textId="4608E997" w:rsidR="006B31CB" w:rsidRDefault="000B3183">
    <w:pPr>
      <w:pStyle w:val="Footer"/>
    </w:pPr>
    <w:r>
      <w:t>Department of Climate Change, Energy, the Environment and Water</w:t>
    </w:r>
    <w:r w:rsidDel="00D05D12">
      <w:t xml:space="preserve"> </w:t>
    </w:r>
    <w:sdt>
      <w:sdtPr>
        <w:id w:val="286313627"/>
        <w:docPartObj>
          <w:docPartGallery w:val="Page Numbers (Bottom of Page)"/>
          <w:docPartUnique/>
        </w:docPartObj>
      </w:sdtPr>
      <w:sdtEndPr>
        <w:rPr>
          <w:noProof/>
        </w:rPr>
      </w:sdtEndPr>
      <w:sdtContent>
        <w:r w:rsidR="003E7D35">
          <w:fldChar w:fldCharType="begin"/>
        </w:r>
        <w:r w:rsidR="003E7D35">
          <w:instrText xml:space="preserve"> PAGE   \* MERGEFORMAT </w:instrText>
        </w:r>
        <w:r w:rsidR="003E7D35">
          <w:fldChar w:fldCharType="separate"/>
        </w:r>
        <w:r w:rsidR="003E7D35">
          <w:t>i</w:t>
        </w:r>
        <w:r w:rsidR="003E7D35">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B2379" w14:textId="08C45F6C" w:rsidR="004D115F" w:rsidRDefault="00211DC8" w:rsidP="00497DCD">
    <w:pPr>
      <w:pStyle w:val="Footer"/>
      <w:jc w:val="right"/>
    </w:pPr>
    <w:sdt>
      <w:sdtPr>
        <w:id w:val="840739172"/>
        <w:docPartObj>
          <w:docPartGallery w:val="Page Numbers (Bottom of Page)"/>
          <w:docPartUnique/>
        </w:docPartObj>
      </w:sdtPr>
      <w:sdtEndPr>
        <w:rPr>
          <w:noProof/>
        </w:rPr>
      </w:sdtEndPr>
      <w:sdtContent>
        <w:r w:rsidR="003E7D35">
          <w:fldChar w:fldCharType="begin"/>
        </w:r>
        <w:r w:rsidR="003E7D35">
          <w:instrText xml:space="preserve"> PAGE   \* MERGEFORMAT </w:instrText>
        </w:r>
        <w:r w:rsidR="003E7D35">
          <w:fldChar w:fldCharType="separate"/>
        </w:r>
        <w:r w:rsidR="003E7D35">
          <w:rPr>
            <w:noProof/>
          </w:rPr>
          <w:t>9</w:t>
        </w:r>
        <w:r w:rsidR="003E7D35">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22675" w14:textId="77777777" w:rsidR="00E73408" w:rsidRDefault="00E73408">
      <w:pPr>
        <w:spacing w:after="0" w:line="240" w:lineRule="auto"/>
      </w:pPr>
      <w:r>
        <w:separator/>
      </w:r>
    </w:p>
  </w:footnote>
  <w:footnote w:type="continuationSeparator" w:id="0">
    <w:p w14:paraId="3F5FA99F" w14:textId="77777777" w:rsidR="00E73408" w:rsidRDefault="00E73408">
      <w:pPr>
        <w:spacing w:after="0" w:line="240" w:lineRule="auto"/>
      </w:pPr>
      <w:r>
        <w:continuationSeparator/>
      </w:r>
    </w:p>
  </w:footnote>
  <w:footnote w:id="1">
    <w:p w14:paraId="11ABBBE5" w14:textId="2FADBBFC" w:rsidR="00B05F1F" w:rsidRDefault="00B05F1F">
      <w:pPr>
        <w:pStyle w:val="FootnoteText"/>
      </w:pPr>
      <w:r>
        <w:rPr>
          <w:rStyle w:val="FootnoteReference"/>
        </w:rPr>
        <w:footnoteRef/>
      </w:r>
      <w:r>
        <w:t xml:space="preserve"> </w:t>
      </w:r>
      <w:r w:rsidRPr="00B05F1F">
        <w:t>The 2021 Census counted 25,422,788 people in Australia (excludes overseas visitors)</w:t>
      </w:r>
      <w:r>
        <w:t>.</w:t>
      </w:r>
    </w:p>
  </w:footnote>
  <w:footnote w:id="2">
    <w:p w14:paraId="07A26C6A" w14:textId="219F9986" w:rsidR="006C27BE" w:rsidRDefault="006C27BE">
      <w:pPr>
        <w:pStyle w:val="FootnoteText"/>
      </w:pPr>
      <w:r>
        <w:rPr>
          <w:rStyle w:val="FootnoteReference"/>
        </w:rPr>
        <w:footnoteRef/>
      </w:r>
      <w:r>
        <w:t xml:space="preserve"> </w:t>
      </w:r>
      <w:r w:rsidR="0087559E" w:rsidRPr="0087559E">
        <w:t>The 2021 Census counted more than 10.8 million private dwellings across Australia.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8262A" w14:textId="77777777" w:rsidR="00291ABB" w:rsidRDefault="00BD538D">
    <w:pPr>
      <w:pStyle w:val="Header"/>
    </w:pPr>
    <w:r>
      <w:rPr>
        <w:noProof/>
        <w:lang w:eastAsia="en-AU"/>
      </w:rPr>
      <w:drawing>
        <wp:anchor distT="0" distB="0" distL="114300" distR="114300" simplePos="0" relativeHeight="251658240" behindDoc="1" locked="0" layoutInCell="1" allowOverlap="1" wp14:anchorId="7350C2F8" wp14:editId="7C549E60">
          <wp:simplePos x="0" y="0"/>
          <wp:positionH relativeFrom="page">
            <wp:align>right</wp:align>
          </wp:positionH>
          <wp:positionV relativeFrom="paragraph">
            <wp:posOffset>-357529</wp:posOffset>
          </wp:positionV>
          <wp:extent cx="7581841" cy="10724084"/>
          <wp:effectExtent l="0" t="0" r="635" b="1270"/>
          <wp:wrapNone/>
          <wp:docPr id="1" name="Picture 1" descr="Australian  Government Water Rating website publication. The Water Efficiency Labelling and Standards (WELS) scheme is an Australian Government initiative in partnership with state and territory govern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793759" name="Picture 1" descr="Wels cover fil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841" cy="10724084"/>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AAC21" w14:textId="07666A84" w:rsidR="00291ABB" w:rsidRDefault="00BD538D">
    <w:pPr>
      <w:pStyle w:val="Header"/>
    </w:pPr>
    <w:r>
      <w:t xml:space="preserve">Water Efficiency Labelling and Standards </w:t>
    </w:r>
    <w:r w:rsidR="0066151F">
      <w:t>s</w:t>
    </w:r>
    <w:r>
      <w:t>cheme Compliance and Enforcement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6C295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F5CCE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7B422126"/>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1EE6B88C"/>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52F097F"/>
    <w:multiLevelType w:val="hybridMultilevel"/>
    <w:tmpl w:val="15D60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57040C7"/>
    <w:multiLevelType w:val="multilevel"/>
    <w:tmpl w:val="B76AD77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0" w15:restartNumberingAfterBreak="0">
    <w:nsid w:val="12056DAA"/>
    <w:multiLevelType w:val="hybridMultilevel"/>
    <w:tmpl w:val="C5CCCECC"/>
    <w:lvl w:ilvl="0" w:tplc="A906D364">
      <w:start w:val="1"/>
      <w:numFmt w:val="bullet"/>
      <w:pStyle w:val="TableBullet2"/>
      <w:lvlText w:val=""/>
      <w:lvlJc w:val="left"/>
      <w:pPr>
        <w:ind w:left="1004" w:hanging="360"/>
      </w:pPr>
      <w:rPr>
        <w:rFonts w:ascii="Symbol" w:hAnsi="Symbol" w:hint="default"/>
      </w:rPr>
    </w:lvl>
    <w:lvl w:ilvl="1" w:tplc="318C27C2" w:tentative="1">
      <w:start w:val="1"/>
      <w:numFmt w:val="bullet"/>
      <w:lvlText w:val="o"/>
      <w:lvlJc w:val="left"/>
      <w:pPr>
        <w:ind w:left="1724" w:hanging="360"/>
      </w:pPr>
      <w:rPr>
        <w:rFonts w:ascii="Courier New" w:hAnsi="Courier New" w:cs="Courier New" w:hint="default"/>
      </w:rPr>
    </w:lvl>
    <w:lvl w:ilvl="2" w:tplc="93E895FA" w:tentative="1">
      <w:start w:val="1"/>
      <w:numFmt w:val="bullet"/>
      <w:lvlText w:val=""/>
      <w:lvlJc w:val="left"/>
      <w:pPr>
        <w:ind w:left="2444" w:hanging="360"/>
      </w:pPr>
      <w:rPr>
        <w:rFonts w:ascii="Wingdings" w:hAnsi="Wingdings" w:hint="default"/>
      </w:rPr>
    </w:lvl>
    <w:lvl w:ilvl="3" w:tplc="2EAA9892" w:tentative="1">
      <w:start w:val="1"/>
      <w:numFmt w:val="bullet"/>
      <w:lvlText w:val=""/>
      <w:lvlJc w:val="left"/>
      <w:pPr>
        <w:ind w:left="3164" w:hanging="360"/>
      </w:pPr>
      <w:rPr>
        <w:rFonts w:ascii="Symbol" w:hAnsi="Symbol" w:hint="default"/>
      </w:rPr>
    </w:lvl>
    <w:lvl w:ilvl="4" w:tplc="ACE2FEEE" w:tentative="1">
      <w:start w:val="1"/>
      <w:numFmt w:val="bullet"/>
      <w:lvlText w:val="o"/>
      <w:lvlJc w:val="left"/>
      <w:pPr>
        <w:ind w:left="3884" w:hanging="360"/>
      </w:pPr>
      <w:rPr>
        <w:rFonts w:ascii="Courier New" w:hAnsi="Courier New" w:cs="Courier New" w:hint="default"/>
      </w:rPr>
    </w:lvl>
    <w:lvl w:ilvl="5" w:tplc="92484654" w:tentative="1">
      <w:start w:val="1"/>
      <w:numFmt w:val="bullet"/>
      <w:lvlText w:val=""/>
      <w:lvlJc w:val="left"/>
      <w:pPr>
        <w:ind w:left="4604" w:hanging="360"/>
      </w:pPr>
      <w:rPr>
        <w:rFonts w:ascii="Wingdings" w:hAnsi="Wingdings" w:hint="default"/>
      </w:rPr>
    </w:lvl>
    <w:lvl w:ilvl="6" w:tplc="60147C54" w:tentative="1">
      <w:start w:val="1"/>
      <w:numFmt w:val="bullet"/>
      <w:lvlText w:val=""/>
      <w:lvlJc w:val="left"/>
      <w:pPr>
        <w:ind w:left="5324" w:hanging="360"/>
      </w:pPr>
      <w:rPr>
        <w:rFonts w:ascii="Symbol" w:hAnsi="Symbol" w:hint="default"/>
      </w:rPr>
    </w:lvl>
    <w:lvl w:ilvl="7" w:tplc="00D4135C" w:tentative="1">
      <w:start w:val="1"/>
      <w:numFmt w:val="bullet"/>
      <w:lvlText w:val="o"/>
      <w:lvlJc w:val="left"/>
      <w:pPr>
        <w:ind w:left="6044" w:hanging="360"/>
      </w:pPr>
      <w:rPr>
        <w:rFonts w:ascii="Courier New" w:hAnsi="Courier New" w:cs="Courier New" w:hint="default"/>
      </w:rPr>
    </w:lvl>
    <w:lvl w:ilvl="8" w:tplc="0C78A08C" w:tentative="1">
      <w:start w:val="1"/>
      <w:numFmt w:val="bullet"/>
      <w:lvlText w:val=""/>
      <w:lvlJc w:val="left"/>
      <w:pPr>
        <w:ind w:left="6764" w:hanging="360"/>
      </w:pPr>
      <w:rPr>
        <w:rFonts w:ascii="Wingdings" w:hAnsi="Wingdings" w:hint="default"/>
      </w:rPr>
    </w:lvl>
  </w:abstractNum>
  <w:abstractNum w:abstractNumId="11" w15:restartNumberingAfterBreak="0">
    <w:nsid w:val="196B606F"/>
    <w:multiLevelType w:val="hybridMultilevel"/>
    <w:tmpl w:val="E0560262"/>
    <w:lvl w:ilvl="0" w:tplc="82044CBE">
      <w:start w:val="1"/>
      <w:numFmt w:val="bullet"/>
      <w:pStyle w:val="TableBullet1"/>
      <w:lvlText w:val=""/>
      <w:lvlJc w:val="left"/>
      <w:pPr>
        <w:ind w:left="720" w:hanging="360"/>
      </w:pPr>
      <w:rPr>
        <w:rFonts w:ascii="Symbol" w:hAnsi="Symbol" w:hint="default"/>
      </w:rPr>
    </w:lvl>
    <w:lvl w:ilvl="1" w:tplc="ACB04A4C" w:tentative="1">
      <w:start w:val="1"/>
      <w:numFmt w:val="bullet"/>
      <w:lvlText w:val="o"/>
      <w:lvlJc w:val="left"/>
      <w:pPr>
        <w:ind w:left="1440" w:hanging="360"/>
      </w:pPr>
      <w:rPr>
        <w:rFonts w:ascii="Courier New" w:hAnsi="Courier New" w:cs="Courier New" w:hint="default"/>
      </w:rPr>
    </w:lvl>
    <w:lvl w:ilvl="2" w:tplc="D174F1EC" w:tentative="1">
      <w:start w:val="1"/>
      <w:numFmt w:val="bullet"/>
      <w:lvlText w:val=""/>
      <w:lvlJc w:val="left"/>
      <w:pPr>
        <w:ind w:left="2160" w:hanging="360"/>
      </w:pPr>
      <w:rPr>
        <w:rFonts w:ascii="Wingdings" w:hAnsi="Wingdings" w:hint="default"/>
      </w:rPr>
    </w:lvl>
    <w:lvl w:ilvl="3" w:tplc="76B6929E" w:tentative="1">
      <w:start w:val="1"/>
      <w:numFmt w:val="bullet"/>
      <w:lvlText w:val=""/>
      <w:lvlJc w:val="left"/>
      <w:pPr>
        <w:ind w:left="2880" w:hanging="360"/>
      </w:pPr>
      <w:rPr>
        <w:rFonts w:ascii="Symbol" w:hAnsi="Symbol" w:hint="default"/>
      </w:rPr>
    </w:lvl>
    <w:lvl w:ilvl="4" w:tplc="23803D32" w:tentative="1">
      <w:start w:val="1"/>
      <w:numFmt w:val="bullet"/>
      <w:lvlText w:val="o"/>
      <w:lvlJc w:val="left"/>
      <w:pPr>
        <w:ind w:left="3600" w:hanging="360"/>
      </w:pPr>
      <w:rPr>
        <w:rFonts w:ascii="Courier New" w:hAnsi="Courier New" w:cs="Courier New" w:hint="default"/>
      </w:rPr>
    </w:lvl>
    <w:lvl w:ilvl="5" w:tplc="FC226B54" w:tentative="1">
      <w:start w:val="1"/>
      <w:numFmt w:val="bullet"/>
      <w:lvlText w:val=""/>
      <w:lvlJc w:val="left"/>
      <w:pPr>
        <w:ind w:left="4320" w:hanging="360"/>
      </w:pPr>
      <w:rPr>
        <w:rFonts w:ascii="Wingdings" w:hAnsi="Wingdings" w:hint="default"/>
      </w:rPr>
    </w:lvl>
    <w:lvl w:ilvl="6" w:tplc="10FAC7C8" w:tentative="1">
      <w:start w:val="1"/>
      <w:numFmt w:val="bullet"/>
      <w:lvlText w:val=""/>
      <w:lvlJc w:val="left"/>
      <w:pPr>
        <w:ind w:left="5040" w:hanging="360"/>
      </w:pPr>
      <w:rPr>
        <w:rFonts w:ascii="Symbol" w:hAnsi="Symbol" w:hint="default"/>
      </w:rPr>
    </w:lvl>
    <w:lvl w:ilvl="7" w:tplc="BC28E110" w:tentative="1">
      <w:start w:val="1"/>
      <w:numFmt w:val="bullet"/>
      <w:lvlText w:val="o"/>
      <w:lvlJc w:val="left"/>
      <w:pPr>
        <w:ind w:left="5760" w:hanging="360"/>
      </w:pPr>
      <w:rPr>
        <w:rFonts w:ascii="Courier New" w:hAnsi="Courier New" w:cs="Courier New" w:hint="default"/>
      </w:rPr>
    </w:lvl>
    <w:lvl w:ilvl="8" w:tplc="A282F494" w:tentative="1">
      <w:start w:val="1"/>
      <w:numFmt w:val="bullet"/>
      <w:lvlText w:val=""/>
      <w:lvlJc w:val="left"/>
      <w:pPr>
        <w:ind w:left="6480" w:hanging="360"/>
      </w:pPr>
      <w:rPr>
        <w:rFonts w:ascii="Wingdings" w:hAnsi="Wingdings" w:hint="default"/>
      </w:rPr>
    </w:lvl>
  </w:abstractNum>
  <w:abstractNum w:abstractNumId="12" w15:restartNumberingAfterBreak="0">
    <w:nsid w:val="1CD71580"/>
    <w:multiLevelType w:val="hybridMultilevel"/>
    <w:tmpl w:val="16AAE240"/>
    <w:lvl w:ilvl="0" w:tplc="C662363A">
      <w:start w:val="1"/>
      <w:numFmt w:val="bullet"/>
      <w:lvlText w:val=""/>
      <w:lvlJc w:val="left"/>
      <w:pPr>
        <w:ind w:left="360" w:hanging="360"/>
      </w:pPr>
      <w:rPr>
        <w:rFonts w:ascii="Symbol" w:hAnsi="Symbol" w:hint="default"/>
        <w:color w:val="FF7900"/>
      </w:rPr>
    </w:lvl>
    <w:lvl w:ilvl="1" w:tplc="AEF80142">
      <w:start w:val="1"/>
      <w:numFmt w:val="bullet"/>
      <w:lvlText w:val="o"/>
      <w:lvlJc w:val="left"/>
      <w:pPr>
        <w:ind w:left="1440" w:hanging="360"/>
      </w:pPr>
      <w:rPr>
        <w:rFonts w:ascii="Courier New" w:hAnsi="Courier New" w:cs="Courier New" w:hint="default"/>
      </w:rPr>
    </w:lvl>
    <w:lvl w:ilvl="2" w:tplc="C422C2DC" w:tentative="1">
      <w:start w:val="1"/>
      <w:numFmt w:val="bullet"/>
      <w:lvlText w:val=""/>
      <w:lvlJc w:val="left"/>
      <w:pPr>
        <w:ind w:left="2160" w:hanging="360"/>
      </w:pPr>
      <w:rPr>
        <w:rFonts w:ascii="Wingdings" w:hAnsi="Wingdings" w:hint="default"/>
      </w:rPr>
    </w:lvl>
    <w:lvl w:ilvl="3" w:tplc="0B8AE81C" w:tentative="1">
      <w:start w:val="1"/>
      <w:numFmt w:val="bullet"/>
      <w:lvlText w:val=""/>
      <w:lvlJc w:val="left"/>
      <w:pPr>
        <w:ind w:left="2880" w:hanging="360"/>
      </w:pPr>
      <w:rPr>
        <w:rFonts w:ascii="Symbol" w:hAnsi="Symbol" w:hint="default"/>
      </w:rPr>
    </w:lvl>
    <w:lvl w:ilvl="4" w:tplc="FEE2DC7C" w:tentative="1">
      <w:start w:val="1"/>
      <w:numFmt w:val="bullet"/>
      <w:lvlText w:val="o"/>
      <w:lvlJc w:val="left"/>
      <w:pPr>
        <w:ind w:left="3600" w:hanging="360"/>
      </w:pPr>
      <w:rPr>
        <w:rFonts w:ascii="Courier New" w:hAnsi="Courier New" w:cs="Courier New" w:hint="default"/>
      </w:rPr>
    </w:lvl>
    <w:lvl w:ilvl="5" w:tplc="3AE82F00" w:tentative="1">
      <w:start w:val="1"/>
      <w:numFmt w:val="bullet"/>
      <w:lvlText w:val=""/>
      <w:lvlJc w:val="left"/>
      <w:pPr>
        <w:ind w:left="4320" w:hanging="360"/>
      </w:pPr>
      <w:rPr>
        <w:rFonts w:ascii="Wingdings" w:hAnsi="Wingdings" w:hint="default"/>
      </w:rPr>
    </w:lvl>
    <w:lvl w:ilvl="6" w:tplc="8FF050EE" w:tentative="1">
      <w:start w:val="1"/>
      <w:numFmt w:val="bullet"/>
      <w:lvlText w:val=""/>
      <w:lvlJc w:val="left"/>
      <w:pPr>
        <w:ind w:left="5040" w:hanging="360"/>
      </w:pPr>
      <w:rPr>
        <w:rFonts w:ascii="Symbol" w:hAnsi="Symbol" w:hint="default"/>
      </w:rPr>
    </w:lvl>
    <w:lvl w:ilvl="7" w:tplc="40A8F0EE" w:tentative="1">
      <w:start w:val="1"/>
      <w:numFmt w:val="bullet"/>
      <w:lvlText w:val="o"/>
      <w:lvlJc w:val="left"/>
      <w:pPr>
        <w:ind w:left="5760" w:hanging="360"/>
      </w:pPr>
      <w:rPr>
        <w:rFonts w:ascii="Courier New" w:hAnsi="Courier New" w:cs="Courier New" w:hint="default"/>
      </w:rPr>
    </w:lvl>
    <w:lvl w:ilvl="8" w:tplc="9D3C889C" w:tentative="1">
      <w:start w:val="1"/>
      <w:numFmt w:val="bullet"/>
      <w:lvlText w:val=""/>
      <w:lvlJc w:val="left"/>
      <w:pPr>
        <w:ind w:left="6480" w:hanging="360"/>
      </w:pPr>
      <w:rPr>
        <w:rFonts w:ascii="Wingdings" w:hAnsi="Wingdings" w:hint="default"/>
      </w:rPr>
    </w:lvl>
  </w:abstractNum>
  <w:abstractNum w:abstractNumId="13" w15:restartNumberingAfterBreak="0">
    <w:nsid w:val="21A328D5"/>
    <w:multiLevelType w:val="multilevel"/>
    <w:tmpl w:val="BE78A4F8"/>
    <w:numStyleLink w:val="Numberlist"/>
  </w:abstractNum>
  <w:abstractNum w:abstractNumId="1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8619"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B103637"/>
    <w:multiLevelType w:val="multilevel"/>
    <w:tmpl w:val="BE78A4F8"/>
    <w:numStyleLink w:val="Numberlist"/>
  </w:abstractNum>
  <w:abstractNum w:abstractNumId="16" w15:restartNumberingAfterBreak="0">
    <w:nsid w:val="2DBF329A"/>
    <w:multiLevelType w:val="hybridMultilevel"/>
    <w:tmpl w:val="F4C6D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4A15FE"/>
    <w:multiLevelType w:val="multilevel"/>
    <w:tmpl w:val="F36C17E8"/>
    <w:numStyleLink w:val="Headinglist"/>
  </w:abstractNum>
  <w:abstractNum w:abstractNumId="18" w15:restartNumberingAfterBreak="0">
    <w:nsid w:val="3EC1385A"/>
    <w:multiLevelType w:val="hybridMultilevel"/>
    <w:tmpl w:val="03729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0E66B45"/>
    <w:multiLevelType w:val="hybridMultilevel"/>
    <w:tmpl w:val="1A6042A8"/>
    <w:lvl w:ilvl="0" w:tplc="82A69A3C">
      <w:start w:val="1"/>
      <w:numFmt w:val="bullet"/>
      <w:lvlText w:val=""/>
      <w:lvlJc w:val="left"/>
      <w:pPr>
        <w:ind w:left="720" w:hanging="360"/>
      </w:pPr>
      <w:rPr>
        <w:rFonts w:ascii="Symbol" w:hAnsi="Symbol" w:hint="default"/>
      </w:rPr>
    </w:lvl>
    <w:lvl w:ilvl="1" w:tplc="5C1C29A0" w:tentative="1">
      <w:start w:val="1"/>
      <w:numFmt w:val="bullet"/>
      <w:lvlText w:val="o"/>
      <w:lvlJc w:val="left"/>
      <w:pPr>
        <w:ind w:left="1440" w:hanging="360"/>
      </w:pPr>
      <w:rPr>
        <w:rFonts w:ascii="Courier New" w:hAnsi="Courier New" w:cs="Courier New" w:hint="default"/>
      </w:rPr>
    </w:lvl>
    <w:lvl w:ilvl="2" w:tplc="3C747F98" w:tentative="1">
      <w:start w:val="1"/>
      <w:numFmt w:val="bullet"/>
      <w:lvlText w:val=""/>
      <w:lvlJc w:val="left"/>
      <w:pPr>
        <w:ind w:left="2160" w:hanging="360"/>
      </w:pPr>
      <w:rPr>
        <w:rFonts w:ascii="Wingdings" w:hAnsi="Wingdings" w:hint="default"/>
      </w:rPr>
    </w:lvl>
    <w:lvl w:ilvl="3" w:tplc="6EF40A2C" w:tentative="1">
      <w:start w:val="1"/>
      <w:numFmt w:val="bullet"/>
      <w:lvlText w:val=""/>
      <w:lvlJc w:val="left"/>
      <w:pPr>
        <w:ind w:left="2880" w:hanging="360"/>
      </w:pPr>
      <w:rPr>
        <w:rFonts w:ascii="Symbol" w:hAnsi="Symbol" w:hint="default"/>
      </w:rPr>
    </w:lvl>
    <w:lvl w:ilvl="4" w:tplc="A7F0563E" w:tentative="1">
      <w:start w:val="1"/>
      <w:numFmt w:val="bullet"/>
      <w:lvlText w:val="o"/>
      <w:lvlJc w:val="left"/>
      <w:pPr>
        <w:ind w:left="3600" w:hanging="360"/>
      </w:pPr>
      <w:rPr>
        <w:rFonts w:ascii="Courier New" w:hAnsi="Courier New" w:cs="Courier New" w:hint="default"/>
      </w:rPr>
    </w:lvl>
    <w:lvl w:ilvl="5" w:tplc="DC740FE4" w:tentative="1">
      <w:start w:val="1"/>
      <w:numFmt w:val="bullet"/>
      <w:lvlText w:val=""/>
      <w:lvlJc w:val="left"/>
      <w:pPr>
        <w:ind w:left="4320" w:hanging="360"/>
      </w:pPr>
      <w:rPr>
        <w:rFonts w:ascii="Wingdings" w:hAnsi="Wingdings" w:hint="default"/>
      </w:rPr>
    </w:lvl>
    <w:lvl w:ilvl="6" w:tplc="DD3A98BA" w:tentative="1">
      <w:start w:val="1"/>
      <w:numFmt w:val="bullet"/>
      <w:lvlText w:val=""/>
      <w:lvlJc w:val="left"/>
      <w:pPr>
        <w:ind w:left="5040" w:hanging="360"/>
      </w:pPr>
      <w:rPr>
        <w:rFonts w:ascii="Symbol" w:hAnsi="Symbol" w:hint="default"/>
      </w:rPr>
    </w:lvl>
    <w:lvl w:ilvl="7" w:tplc="B36CB588" w:tentative="1">
      <w:start w:val="1"/>
      <w:numFmt w:val="bullet"/>
      <w:lvlText w:val="o"/>
      <w:lvlJc w:val="left"/>
      <w:pPr>
        <w:ind w:left="5760" w:hanging="360"/>
      </w:pPr>
      <w:rPr>
        <w:rFonts w:ascii="Courier New" w:hAnsi="Courier New" w:cs="Courier New" w:hint="default"/>
      </w:rPr>
    </w:lvl>
    <w:lvl w:ilvl="8" w:tplc="AD24BFA6" w:tentative="1">
      <w:start w:val="1"/>
      <w:numFmt w:val="bullet"/>
      <w:lvlText w:val=""/>
      <w:lvlJc w:val="left"/>
      <w:pPr>
        <w:ind w:left="6480" w:hanging="360"/>
      </w:pPr>
      <w:rPr>
        <w:rFonts w:ascii="Wingdings" w:hAnsi="Wingdings" w:hint="default"/>
      </w:rPr>
    </w:lvl>
  </w:abstractNum>
  <w:abstractNum w:abstractNumId="20" w15:restartNumberingAfterBreak="0">
    <w:nsid w:val="414F4729"/>
    <w:multiLevelType w:val="multilevel"/>
    <w:tmpl w:val="A0241B28"/>
    <w:numStyleLink w:val="List1"/>
  </w:abstractNum>
  <w:abstractNum w:abstractNumId="21" w15:restartNumberingAfterBreak="0">
    <w:nsid w:val="486800B4"/>
    <w:multiLevelType w:val="multilevel"/>
    <w:tmpl w:val="A0241B28"/>
    <w:numStyleLink w:val="List1"/>
  </w:abstractNum>
  <w:abstractNum w:abstractNumId="22" w15:restartNumberingAfterBreak="0">
    <w:nsid w:val="48DE2E4A"/>
    <w:multiLevelType w:val="hybridMultilevel"/>
    <w:tmpl w:val="B7086130"/>
    <w:lvl w:ilvl="0" w:tplc="B8A4225E">
      <w:start w:val="1"/>
      <w:numFmt w:val="bullet"/>
      <w:pStyle w:val="BoxTextBullet"/>
      <w:lvlText w:val=""/>
      <w:lvlJc w:val="left"/>
      <w:pPr>
        <w:ind w:left="720" w:hanging="360"/>
      </w:pPr>
      <w:rPr>
        <w:rFonts w:ascii="Symbol" w:hAnsi="Symbol" w:hint="default"/>
      </w:rPr>
    </w:lvl>
    <w:lvl w:ilvl="1" w:tplc="F1A005E8" w:tentative="1">
      <w:start w:val="1"/>
      <w:numFmt w:val="bullet"/>
      <w:lvlText w:val="o"/>
      <w:lvlJc w:val="left"/>
      <w:pPr>
        <w:ind w:left="1440" w:hanging="360"/>
      </w:pPr>
      <w:rPr>
        <w:rFonts w:ascii="Courier New" w:hAnsi="Courier New" w:cs="Courier New" w:hint="default"/>
      </w:rPr>
    </w:lvl>
    <w:lvl w:ilvl="2" w:tplc="E45079AA" w:tentative="1">
      <w:start w:val="1"/>
      <w:numFmt w:val="bullet"/>
      <w:lvlText w:val=""/>
      <w:lvlJc w:val="left"/>
      <w:pPr>
        <w:ind w:left="2160" w:hanging="360"/>
      </w:pPr>
      <w:rPr>
        <w:rFonts w:ascii="Wingdings" w:hAnsi="Wingdings" w:hint="default"/>
      </w:rPr>
    </w:lvl>
    <w:lvl w:ilvl="3" w:tplc="E8D49864" w:tentative="1">
      <w:start w:val="1"/>
      <w:numFmt w:val="bullet"/>
      <w:lvlText w:val=""/>
      <w:lvlJc w:val="left"/>
      <w:pPr>
        <w:ind w:left="2880" w:hanging="360"/>
      </w:pPr>
      <w:rPr>
        <w:rFonts w:ascii="Symbol" w:hAnsi="Symbol" w:hint="default"/>
      </w:rPr>
    </w:lvl>
    <w:lvl w:ilvl="4" w:tplc="CD060ABC" w:tentative="1">
      <w:start w:val="1"/>
      <w:numFmt w:val="bullet"/>
      <w:lvlText w:val="o"/>
      <w:lvlJc w:val="left"/>
      <w:pPr>
        <w:ind w:left="3600" w:hanging="360"/>
      </w:pPr>
      <w:rPr>
        <w:rFonts w:ascii="Courier New" w:hAnsi="Courier New" w:cs="Courier New" w:hint="default"/>
      </w:rPr>
    </w:lvl>
    <w:lvl w:ilvl="5" w:tplc="23D61ED6" w:tentative="1">
      <w:start w:val="1"/>
      <w:numFmt w:val="bullet"/>
      <w:lvlText w:val=""/>
      <w:lvlJc w:val="left"/>
      <w:pPr>
        <w:ind w:left="4320" w:hanging="360"/>
      </w:pPr>
      <w:rPr>
        <w:rFonts w:ascii="Wingdings" w:hAnsi="Wingdings" w:hint="default"/>
      </w:rPr>
    </w:lvl>
    <w:lvl w:ilvl="6" w:tplc="6674072C" w:tentative="1">
      <w:start w:val="1"/>
      <w:numFmt w:val="bullet"/>
      <w:lvlText w:val=""/>
      <w:lvlJc w:val="left"/>
      <w:pPr>
        <w:ind w:left="5040" w:hanging="360"/>
      </w:pPr>
      <w:rPr>
        <w:rFonts w:ascii="Symbol" w:hAnsi="Symbol" w:hint="default"/>
      </w:rPr>
    </w:lvl>
    <w:lvl w:ilvl="7" w:tplc="9BD8483C" w:tentative="1">
      <w:start w:val="1"/>
      <w:numFmt w:val="bullet"/>
      <w:lvlText w:val="o"/>
      <w:lvlJc w:val="left"/>
      <w:pPr>
        <w:ind w:left="5760" w:hanging="360"/>
      </w:pPr>
      <w:rPr>
        <w:rFonts w:ascii="Courier New" w:hAnsi="Courier New" w:cs="Courier New" w:hint="default"/>
      </w:rPr>
    </w:lvl>
    <w:lvl w:ilvl="8" w:tplc="7FD4561C" w:tentative="1">
      <w:start w:val="1"/>
      <w:numFmt w:val="bullet"/>
      <w:lvlText w:val=""/>
      <w:lvlJc w:val="left"/>
      <w:pPr>
        <w:ind w:left="6480" w:hanging="360"/>
      </w:pPr>
      <w:rPr>
        <w:rFonts w:ascii="Wingdings" w:hAnsi="Wingdings" w:hint="default"/>
      </w:rPr>
    </w:lvl>
  </w:abstractNum>
  <w:abstractNum w:abstractNumId="23" w15:restartNumberingAfterBreak="0">
    <w:nsid w:val="496159DC"/>
    <w:multiLevelType w:val="multilevel"/>
    <w:tmpl w:val="BE78A4F8"/>
    <w:numStyleLink w:val="Numberlist"/>
  </w:abstractNum>
  <w:abstractNum w:abstractNumId="24"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3B876E6"/>
    <w:multiLevelType w:val="hybridMultilevel"/>
    <w:tmpl w:val="5BAE7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DC41CE"/>
    <w:multiLevelType w:val="hybridMultilevel"/>
    <w:tmpl w:val="6F349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8" w15:restartNumberingAfterBreak="0">
    <w:nsid w:val="58796875"/>
    <w:multiLevelType w:val="hybridMultilevel"/>
    <w:tmpl w:val="5040F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1"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2"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C8C10A1"/>
    <w:multiLevelType w:val="multilevel"/>
    <w:tmpl w:val="BE78A4F8"/>
    <w:numStyleLink w:val="Numberlist"/>
  </w:abstractNum>
  <w:abstractNum w:abstractNumId="34" w15:restartNumberingAfterBreak="0">
    <w:nsid w:val="6D466D81"/>
    <w:multiLevelType w:val="hybridMultilevel"/>
    <w:tmpl w:val="79902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33934B7"/>
    <w:multiLevelType w:val="multilevel"/>
    <w:tmpl w:val="A0241B28"/>
    <w:numStyleLink w:val="List1"/>
  </w:abstractNum>
  <w:num w:numId="1" w16cid:durableId="737240954">
    <w:abstractNumId w:val="6"/>
  </w:num>
  <w:num w:numId="2" w16cid:durableId="1529099681">
    <w:abstractNumId w:val="21"/>
  </w:num>
  <w:num w:numId="3" w16cid:durableId="1409157878">
    <w:abstractNumId w:val="22"/>
  </w:num>
  <w:num w:numId="4" w16cid:durableId="1027944824">
    <w:abstractNumId w:val="11"/>
  </w:num>
  <w:num w:numId="5" w16cid:durableId="1014958132">
    <w:abstractNumId w:val="30"/>
  </w:num>
  <w:num w:numId="6" w16cid:durableId="2015959931">
    <w:abstractNumId w:val="31"/>
  </w:num>
  <w:num w:numId="7" w16cid:durableId="1266228821">
    <w:abstractNumId w:val="9"/>
  </w:num>
  <w:num w:numId="8" w16cid:durableId="2129541921">
    <w:abstractNumId w:val="14"/>
  </w:num>
  <w:num w:numId="9" w16cid:durableId="1782994910">
    <w:abstractNumId w:val="17"/>
  </w:num>
  <w:num w:numId="10" w16cid:durableId="491875058">
    <w:abstractNumId w:val="9"/>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2600916">
    <w:abstractNumId w:val="5"/>
  </w:num>
  <w:num w:numId="12" w16cid:durableId="317418603">
    <w:abstractNumId w:val="4"/>
  </w:num>
  <w:num w:numId="13" w16cid:durableId="90703597">
    <w:abstractNumId w:val="3"/>
  </w:num>
  <w:num w:numId="14" w16cid:durableId="1534617204">
    <w:abstractNumId w:val="2"/>
  </w:num>
  <w:num w:numId="15" w16cid:durableId="961420996">
    <w:abstractNumId w:val="12"/>
  </w:num>
  <w:num w:numId="16" w16cid:durableId="1961373190">
    <w:abstractNumId w:val="27"/>
  </w:num>
  <w:num w:numId="17" w16cid:durableId="6279051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99633566">
    <w:abstractNumId w:val="32"/>
  </w:num>
  <w:num w:numId="19" w16cid:durableId="1842619652">
    <w:abstractNumId w:val="1"/>
  </w:num>
  <w:num w:numId="20" w16cid:durableId="746145704">
    <w:abstractNumId w:val="0"/>
  </w:num>
  <w:num w:numId="21" w16cid:durableId="542445487">
    <w:abstractNumId w:val="15"/>
  </w:num>
  <w:num w:numId="22" w16cid:durableId="1439259014">
    <w:abstractNumId w:val="23"/>
  </w:num>
  <w:num w:numId="23" w16cid:durableId="2145730515">
    <w:abstractNumId w:val="33"/>
  </w:num>
  <w:num w:numId="24" w16cid:durableId="1998991841">
    <w:abstractNumId w:val="13"/>
  </w:num>
  <w:num w:numId="25" w16cid:durableId="1321889263">
    <w:abstractNumId w:val="20"/>
  </w:num>
  <w:num w:numId="26" w16cid:durableId="5792160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19390569">
    <w:abstractNumId w:val="35"/>
  </w:num>
  <w:num w:numId="28" w16cid:durableId="1169294698">
    <w:abstractNumId w:val="24"/>
  </w:num>
  <w:num w:numId="29" w16cid:durableId="1295719012">
    <w:abstractNumId w:val="29"/>
  </w:num>
  <w:num w:numId="30" w16cid:durableId="754981058">
    <w:abstractNumId w:val="10"/>
  </w:num>
  <w:num w:numId="31" w16cid:durableId="1559168911">
    <w:abstractNumId w:val="17"/>
  </w:num>
  <w:num w:numId="32" w16cid:durableId="622199321">
    <w:abstractNumId w:val="19"/>
  </w:num>
  <w:num w:numId="33" w16cid:durableId="1458331642">
    <w:abstractNumId w:val="17"/>
  </w:num>
  <w:num w:numId="34" w16cid:durableId="828325074">
    <w:abstractNumId w:val="28"/>
  </w:num>
  <w:num w:numId="35" w16cid:durableId="591744361">
    <w:abstractNumId w:val="26"/>
  </w:num>
  <w:num w:numId="36" w16cid:durableId="518667903">
    <w:abstractNumId w:val="7"/>
  </w:num>
  <w:num w:numId="37" w16cid:durableId="162014236">
    <w:abstractNumId w:val="17"/>
  </w:num>
  <w:num w:numId="38" w16cid:durableId="68574759">
    <w:abstractNumId w:val="18"/>
  </w:num>
  <w:num w:numId="39" w16cid:durableId="1659991710">
    <w:abstractNumId w:val="17"/>
  </w:num>
  <w:num w:numId="40" w16cid:durableId="1161195546">
    <w:abstractNumId w:val="17"/>
  </w:num>
  <w:num w:numId="41" w16cid:durableId="2026444513">
    <w:abstractNumId w:val="16"/>
  </w:num>
  <w:num w:numId="42" w16cid:durableId="657466409">
    <w:abstractNumId w:val="25"/>
  </w:num>
  <w:num w:numId="43" w16cid:durableId="694308391">
    <w:abstractNumId w:val="8"/>
  </w:num>
  <w:num w:numId="44" w16cid:durableId="413667645">
    <w:abstractNumId w:val="30"/>
  </w:num>
  <w:num w:numId="45" w16cid:durableId="922225975">
    <w:abstractNumId w:val="13"/>
  </w:num>
  <w:num w:numId="46" w16cid:durableId="1787652475">
    <w:abstractNumId w:val="34"/>
  </w:num>
  <w:num w:numId="47" w16cid:durableId="58401225">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AB1"/>
    <w:rsid w:val="000020C3"/>
    <w:rsid w:val="00006ACE"/>
    <w:rsid w:val="0000744D"/>
    <w:rsid w:val="0001053A"/>
    <w:rsid w:val="000118E8"/>
    <w:rsid w:val="000154AD"/>
    <w:rsid w:val="00020A0E"/>
    <w:rsid w:val="00020E5A"/>
    <w:rsid w:val="000221C7"/>
    <w:rsid w:val="00025DFE"/>
    <w:rsid w:val="00032A44"/>
    <w:rsid w:val="00034AD9"/>
    <w:rsid w:val="0003539E"/>
    <w:rsid w:val="00036FD5"/>
    <w:rsid w:val="0004279A"/>
    <w:rsid w:val="00046B0A"/>
    <w:rsid w:val="0004723E"/>
    <w:rsid w:val="00047748"/>
    <w:rsid w:val="000509C8"/>
    <w:rsid w:val="0005547B"/>
    <w:rsid w:val="00056A4D"/>
    <w:rsid w:val="00072D78"/>
    <w:rsid w:val="00073A26"/>
    <w:rsid w:val="00074DDA"/>
    <w:rsid w:val="00081E0C"/>
    <w:rsid w:val="000869AB"/>
    <w:rsid w:val="0008734B"/>
    <w:rsid w:val="000926AA"/>
    <w:rsid w:val="00095788"/>
    <w:rsid w:val="0009679F"/>
    <w:rsid w:val="00097FA8"/>
    <w:rsid w:val="000A64C2"/>
    <w:rsid w:val="000A7AAF"/>
    <w:rsid w:val="000B3183"/>
    <w:rsid w:val="000B3DD5"/>
    <w:rsid w:val="000B4DB0"/>
    <w:rsid w:val="000B73C4"/>
    <w:rsid w:val="000C0065"/>
    <w:rsid w:val="000C24BA"/>
    <w:rsid w:val="000C3780"/>
    <w:rsid w:val="000D122B"/>
    <w:rsid w:val="000D47A2"/>
    <w:rsid w:val="000D6818"/>
    <w:rsid w:val="000D796F"/>
    <w:rsid w:val="000E1A65"/>
    <w:rsid w:val="000E32F3"/>
    <w:rsid w:val="000F589C"/>
    <w:rsid w:val="000F7917"/>
    <w:rsid w:val="00100339"/>
    <w:rsid w:val="0010100D"/>
    <w:rsid w:val="0010226F"/>
    <w:rsid w:val="0011166A"/>
    <w:rsid w:val="0011278A"/>
    <w:rsid w:val="00113401"/>
    <w:rsid w:val="0011414E"/>
    <w:rsid w:val="00121A16"/>
    <w:rsid w:val="001273FF"/>
    <w:rsid w:val="0013034A"/>
    <w:rsid w:val="00132DD5"/>
    <w:rsid w:val="001406A6"/>
    <w:rsid w:val="0015319D"/>
    <w:rsid w:val="00153A8E"/>
    <w:rsid w:val="00154E02"/>
    <w:rsid w:val="00157EAE"/>
    <w:rsid w:val="001624A3"/>
    <w:rsid w:val="00176594"/>
    <w:rsid w:val="0017699C"/>
    <w:rsid w:val="00177B6C"/>
    <w:rsid w:val="00180905"/>
    <w:rsid w:val="00180E75"/>
    <w:rsid w:val="00181A1D"/>
    <w:rsid w:val="00193467"/>
    <w:rsid w:val="0019422D"/>
    <w:rsid w:val="0019721A"/>
    <w:rsid w:val="001A4DCC"/>
    <w:rsid w:val="001C5505"/>
    <w:rsid w:val="001C6A6B"/>
    <w:rsid w:val="001D1B91"/>
    <w:rsid w:val="001D20D8"/>
    <w:rsid w:val="001D4ED4"/>
    <w:rsid w:val="001E2301"/>
    <w:rsid w:val="001F0179"/>
    <w:rsid w:val="001F0AB1"/>
    <w:rsid w:val="001F1E4A"/>
    <w:rsid w:val="00204831"/>
    <w:rsid w:val="0020589E"/>
    <w:rsid w:val="00211DC8"/>
    <w:rsid w:val="00222137"/>
    <w:rsid w:val="00231506"/>
    <w:rsid w:val="00236851"/>
    <w:rsid w:val="00245BAD"/>
    <w:rsid w:val="0025158B"/>
    <w:rsid w:val="002716FF"/>
    <w:rsid w:val="00276F9D"/>
    <w:rsid w:val="00281BB6"/>
    <w:rsid w:val="00283FC0"/>
    <w:rsid w:val="00284C5A"/>
    <w:rsid w:val="00284D14"/>
    <w:rsid w:val="00286307"/>
    <w:rsid w:val="0028742F"/>
    <w:rsid w:val="00291ABB"/>
    <w:rsid w:val="00297068"/>
    <w:rsid w:val="002A2F76"/>
    <w:rsid w:val="002B6747"/>
    <w:rsid w:val="002D5B0A"/>
    <w:rsid w:val="002E26A0"/>
    <w:rsid w:val="002E2EC2"/>
    <w:rsid w:val="002F6A3D"/>
    <w:rsid w:val="002F6F70"/>
    <w:rsid w:val="003024BD"/>
    <w:rsid w:val="003047AE"/>
    <w:rsid w:val="00307E68"/>
    <w:rsid w:val="0031014F"/>
    <w:rsid w:val="00310FA0"/>
    <w:rsid w:val="00315520"/>
    <w:rsid w:val="00317C9D"/>
    <w:rsid w:val="00330AE9"/>
    <w:rsid w:val="00333FA0"/>
    <w:rsid w:val="00341111"/>
    <w:rsid w:val="00343D64"/>
    <w:rsid w:val="00347C2E"/>
    <w:rsid w:val="00364391"/>
    <w:rsid w:val="003646EC"/>
    <w:rsid w:val="003669A9"/>
    <w:rsid w:val="003676AF"/>
    <w:rsid w:val="00367D76"/>
    <w:rsid w:val="00381FF0"/>
    <w:rsid w:val="00384EEF"/>
    <w:rsid w:val="003854EB"/>
    <w:rsid w:val="0038591F"/>
    <w:rsid w:val="00387AB0"/>
    <w:rsid w:val="00387D05"/>
    <w:rsid w:val="00392BC8"/>
    <w:rsid w:val="00395433"/>
    <w:rsid w:val="00396C21"/>
    <w:rsid w:val="003A493D"/>
    <w:rsid w:val="003A7B5C"/>
    <w:rsid w:val="003B1DCE"/>
    <w:rsid w:val="003B3AFB"/>
    <w:rsid w:val="003B4B9F"/>
    <w:rsid w:val="003C25D9"/>
    <w:rsid w:val="003C759C"/>
    <w:rsid w:val="003D3AE9"/>
    <w:rsid w:val="003D68C2"/>
    <w:rsid w:val="003D6DA4"/>
    <w:rsid w:val="003D6E26"/>
    <w:rsid w:val="003E32BC"/>
    <w:rsid w:val="003E6B3E"/>
    <w:rsid w:val="003E7D35"/>
    <w:rsid w:val="003F3CBB"/>
    <w:rsid w:val="003F3DCE"/>
    <w:rsid w:val="00404655"/>
    <w:rsid w:val="0040465B"/>
    <w:rsid w:val="00404DAD"/>
    <w:rsid w:val="00405790"/>
    <w:rsid w:val="00406428"/>
    <w:rsid w:val="004074DF"/>
    <w:rsid w:val="00410B27"/>
    <w:rsid w:val="004119A5"/>
    <w:rsid w:val="00412EAC"/>
    <w:rsid w:val="00414EA3"/>
    <w:rsid w:val="0043534A"/>
    <w:rsid w:val="00443E23"/>
    <w:rsid w:val="00444150"/>
    <w:rsid w:val="004453ED"/>
    <w:rsid w:val="00447665"/>
    <w:rsid w:val="004500DC"/>
    <w:rsid w:val="0045095D"/>
    <w:rsid w:val="00450B29"/>
    <w:rsid w:val="00454950"/>
    <w:rsid w:val="00454E5B"/>
    <w:rsid w:val="004565EA"/>
    <w:rsid w:val="00461957"/>
    <w:rsid w:val="00462E4E"/>
    <w:rsid w:val="004776A0"/>
    <w:rsid w:val="00480FE2"/>
    <w:rsid w:val="00483356"/>
    <w:rsid w:val="004842C4"/>
    <w:rsid w:val="00486A9A"/>
    <w:rsid w:val="00487B33"/>
    <w:rsid w:val="00491E5F"/>
    <w:rsid w:val="00493E46"/>
    <w:rsid w:val="00494AEB"/>
    <w:rsid w:val="00494C91"/>
    <w:rsid w:val="00496013"/>
    <w:rsid w:val="00497DCD"/>
    <w:rsid w:val="004A1A5D"/>
    <w:rsid w:val="004B1D54"/>
    <w:rsid w:val="004B6080"/>
    <w:rsid w:val="004B64DC"/>
    <w:rsid w:val="004C16DB"/>
    <w:rsid w:val="004C35CE"/>
    <w:rsid w:val="004D115F"/>
    <w:rsid w:val="004D1E7F"/>
    <w:rsid w:val="004D3EE5"/>
    <w:rsid w:val="004D53A7"/>
    <w:rsid w:val="004F0074"/>
    <w:rsid w:val="004F16AA"/>
    <w:rsid w:val="004F1F8F"/>
    <w:rsid w:val="004F2AC3"/>
    <w:rsid w:val="004F768C"/>
    <w:rsid w:val="0050425B"/>
    <w:rsid w:val="005043EB"/>
    <w:rsid w:val="005110D5"/>
    <w:rsid w:val="005113FB"/>
    <w:rsid w:val="00514A16"/>
    <w:rsid w:val="00515854"/>
    <w:rsid w:val="005210FF"/>
    <w:rsid w:val="005222CC"/>
    <w:rsid w:val="00530E66"/>
    <w:rsid w:val="005473A2"/>
    <w:rsid w:val="00547C6C"/>
    <w:rsid w:val="005567AC"/>
    <w:rsid w:val="00565C7A"/>
    <w:rsid w:val="00567F6D"/>
    <w:rsid w:val="0057461C"/>
    <w:rsid w:val="00581808"/>
    <w:rsid w:val="00583179"/>
    <w:rsid w:val="00584FBA"/>
    <w:rsid w:val="00591A44"/>
    <w:rsid w:val="00594371"/>
    <w:rsid w:val="00595CF1"/>
    <w:rsid w:val="005A3C9E"/>
    <w:rsid w:val="005A7193"/>
    <w:rsid w:val="005A7ED4"/>
    <w:rsid w:val="005D318F"/>
    <w:rsid w:val="005D3790"/>
    <w:rsid w:val="005D6D14"/>
    <w:rsid w:val="005E07C5"/>
    <w:rsid w:val="005E25BD"/>
    <w:rsid w:val="005F1C60"/>
    <w:rsid w:val="005F4F52"/>
    <w:rsid w:val="005F6236"/>
    <w:rsid w:val="006011D9"/>
    <w:rsid w:val="00601798"/>
    <w:rsid w:val="00603EB1"/>
    <w:rsid w:val="0061002E"/>
    <w:rsid w:val="006106A6"/>
    <w:rsid w:val="00611221"/>
    <w:rsid w:val="006138D1"/>
    <w:rsid w:val="00622D38"/>
    <w:rsid w:val="00630900"/>
    <w:rsid w:val="00630A40"/>
    <w:rsid w:val="00631E15"/>
    <w:rsid w:val="00632282"/>
    <w:rsid w:val="00633C85"/>
    <w:rsid w:val="006342B0"/>
    <w:rsid w:val="0064300F"/>
    <w:rsid w:val="00643140"/>
    <w:rsid w:val="00643C78"/>
    <w:rsid w:val="00645F60"/>
    <w:rsid w:val="0064657E"/>
    <w:rsid w:val="0065197A"/>
    <w:rsid w:val="0066151F"/>
    <w:rsid w:val="00663255"/>
    <w:rsid w:val="00667CF8"/>
    <w:rsid w:val="00667E18"/>
    <w:rsid w:val="00671237"/>
    <w:rsid w:val="00672AAC"/>
    <w:rsid w:val="00686EBC"/>
    <w:rsid w:val="00687AC3"/>
    <w:rsid w:val="00690AD6"/>
    <w:rsid w:val="00694E14"/>
    <w:rsid w:val="00695A9E"/>
    <w:rsid w:val="00697C9E"/>
    <w:rsid w:val="006B222A"/>
    <w:rsid w:val="006B31CB"/>
    <w:rsid w:val="006B35CD"/>
    <w:rsid w:val="006C16FF"/>
    <w:rsid w:val="006C27BE"/>
    <w:rsid w:val="006C5145"/>
    <w:rsid w:val="006D5D19"/>
    <w:rsid w:val="006D69BA"/>
    <w:rsid w:val="006E4A51"/>
    <w:rsid w:val="006F0C29"/>
    <w:rsid w:val="006F1CEA"/>
    <w:rsid w:val="006F4692"/>
    <w:rsid w:val="00705B16"/>
    <w:rsid w:val="00706CB4"/>
    <w:rsid w:val="0072426F"/>
    <w:rsid w:val="0073016F"/>
    <w:rsid w:val="00732012"/>
    <w:rsid w:val="00733335"/>
    <w:rsid w:val="00737FA2"/>
    <w:rsid w:val="00741180"/>
    <w:rsid w:val="00743B85"/>
    <w:rsid w:val="00744E6D"/>
    <w:rsid w:val="00754CCB"/>
    <w:rsid w:val="0075562B"/>
    <w:rsid w:val="007611BF"/>
    <w:rsid w:val="00761FCF"/>
    <w:rsid w:val="00764D6A"/>
    <w:rsid w:val="00765131"/>
    <w:rsid w:val="007652ED"/>
    <w:rsid w:val="00772C05"/>
    <w:rsid w:val="00773056"/>
    <w:rsid w:val="0077480D"/>
    <w:rsid w:val="007769F6"/>
    <w:rsid w:val="0077789D"/>
    <w:rsid w:val="00780526"/>
    <w:rsid w:val="0078249F"/>
    <w:rsid w:val="007932A0"/>
    <w:rsid w:val="007A4323"/>
    <w:rsid w:val="007B1582"/>
    <w:rsid w:val="007C358A"/>
    <w:rsid w:val="007D6F93"/>
    <w:rsid w:val="007E30A2"/>
    <w:rsid w:val="007E43FA"/>
    <w:rsid w:val="007E5CC0"/>
    <w:rsid w:val="007F190A"/>
    <w:rsid w:val="007F2D24"/>
    <w:rsid w:val="007F4A48"/>
    <w:rsid w:val="007F5C36"/>
    <w:rsid w:val="00802E0D"/>
    <w:rsid w:val="008030BB"/>
    <w:rsid w:val="00811789"/>
    <w:rsid w:val="008137D5"/>
    <w:rsid w:val="00814E0E"/>
    <w:rsid w:val="008164B0"/>
    <w:rsid w:val="00817694"/>
    <w:rsid w:val="0082183A"/>
    <w:rsid w:val="008218C5"/>
    <w:rsid w:val="008346CA"/>
    <w:rsid w:val="00847824"/>
    <w:rsid w:val="00851C9D"/>
    <w:rsid w:val="008579D5"/>
    <w:rsid w:val="00857FAE"/>
    <w:rsid w:val="00863C63"/>
    <w:rsid w:val="008674E7"/>
    <w:rsid w:val="008743C5"/>
    <w:rsid w:val="0087559E"/>
    <w:rsid w:val="008755E5"/>
    <w:rsid w:val="00877E7D"/>
    <w:rsid w:val="00892CC1"/>
    <w:rsid w:val="00894023"/>
    <w:rsid w:val="00895821"/>
    <w:rsid w:val="008A0EE3"/>
    <w:rsid w:val="008A1AD7"/>
    <w:rsid w:val="008A21BC"/>
    <w:rsid w:val="008B4919"/>
    <w:rsid w:val="008C052E"/>
    <w:rsid w:val="008C0BD1"/>
    <w:rsid w:val="008C5CFA"/>
    <w:rsid w:val="008C7682"/>
    <w:rsid w:val="008D5461"/>
    <w:rsid w:val="008D5A6C"/>
    <w:rsid w:val="008D619B"/>
    <w:rsid w:val="008D62FD"/>
    <w:rsid w:val="008E3331"/>
    <w:rsid w:val="008E361D"/>
    <w:rsid w:val="008E3A49"/>
    <w:rsid w:val="008F0D27"/>
    <w:rsid w:val="008F2A44"/>
    <w:rsid w:val="008F7B07"/>
    <w:rsid w:val="00921E8E"/>
    <w:rsid w:val="0092302F"/>
    <w:rsid w:val="0093572B"/>
    <w:rsid w:val="0093692D"/>
    <w:rsid w:val="00940760"/>
    <w:rsid w:val="00941669"/>
    <w:rsid w:val="009420E8"/>
    <w:rsid w:val="00942FC7"/>
    <w:rsid w:val="009432C6"/>
    <w:rsid w:val="00944733"/>
    <w:rsid w:val="009520FB"/>
    <w:rsid w:val="0095242A"/>
    <w:rsid w:val="00956197"/>
    <w:rsid w:val="00957457"/>
    <w:rsid w:val="0096225C"/>
    <w:rsid w:val="00973CDB"/>
    <w:rsid w:val="00973F3A"/>
    <w:rsid w:val="00982DD0"/>
    <w:rsid w:val="009922A8"/>
    <w:rsid w:val="009A03E8"/>
    <w:rsid w:val="009A7F10"/>
    <w:rsid w:val="009B10C4"/>
    <w:rsid w:val="009B34C9"/>
    <w:rsid w:val="009B38C4"/>
    <w:rsid w:val="009C0A44"/>
    <w:rsid w:val="009C1875"/>
    <w:rsid w:val="009C4BD8"/>
    <w:rsid w:val="009C6831"/>
    <w:rsid w:val="009D3A86"/>
    <w:rsid w:val="009D42E4"/>
    <w:rsid w:val="009D5007"/>
    <w:rsid w:val="009E2823"/>
    <w:rsid w:val="009E28EF"/>
    <w:rsid w:val="009F062D"/>
    <w:rsid w:val="009F0AD0"/>
    <w:rsid w:val="00A02053"/>
    <w:rsid w:val="00A03315"/>
    <w:rsid w:val="00A053F2"/>
    <w:rsid w:val="00A14A83"/>
    <w:rsid w:val="00A14AE9"/>
    <w:rsid w:val="00A14FBD"/>
    <w:rsid w:val="00A16CA8"/>
    <w:rsid w:val="00A175F3"/>
    <w:rsid w:val="00A21277"/>
    <w:rsid w:val="00A30971"/>
    <w:rsid w:val="00A45C64"/>
    <w:rsid w:val="00A55FC1"/>
    <w:rsid w:val="00A6180B"/>
    <w:rsid w:val="00A634FD"/>
    <w:rsid w:val="00A63AA6"/>
    <w:rsid w:val="00A76A1B"/>
    <w:rsid w:val="00A81227"/>
    <w:rsid w:val="00A9048A"/>
    <w:rsid w:val="00A9052D"/>
    <w:rsid w:val="00A91307"/>
    <w:rsid w:val="00A92396"/>
    <w:rsid w:val="00A93636"/>
    <w:rsid w:val="00A976A4"/>
    <w:rsid w:val="00AB24DB"/>
    <w:rsid w:val="00AB28DF"/>
    <w:rsid w:val="00AB4CBC"/>
    <w:rsid w:val="00AB7911"/>
    <w:rsid w:val="00AC056F"/>
    <w:rsid w:val="00AC35F5"/>
    <w:rsid w:val="00AC6DF6"/>
    <w:rsid w:val="00AC7928"/>
    <w:rsid w:val="00AD5CAC"/>
    <w:rsid w:val="00AE4237"/>
    <w:rsid w:val="00AE481D"/>
    <w:rsid w:val="00AE7D92"/>
    <w:rsid w:val="00AF4E47"/>
    <w:rsid w:val="00AF7089"/>
    <w:rsid w:val="00AF7F46"/>
    <w:rsid w:val="00B015FF"/>
    <w:rsid w:val="00B02B9B"/>
    <w:rsid w:val="00B05F1F"/>
    <w:rsid w:val="00B070CE"/>
    <w:rsid w:val="00B11054"/>
    <w:rsid w:val="00B121FB"/>
    <w:rsid w:val="00B204E8"/>
    <w:rsid w:val="00B2357D"/>
    <w:rsid w:val="00B23DF3"/>
    <w:rsid w:val="00B318B0"/>
    <w:rsid w:val="00B3592E"/>
    <w:rsid w:val="00B36226"/>
    <w:rsid w:val="00B37C19"/>
    <w:rsid w:val="00B425A2"/>
    <w:rsid w:val="00B56D35"/>
    <w:rsid w:val="00B5740E"/>
    <w:rsid w:val="00B642B6"/>
    <w:rsid w:val="00B677D7"/>
    <w:rsid w:val="00B721C5"/>
    <w:rsid w:val="00B82330"/>
    <w:rsid w:val="00B84B79"/>
    <w:rsid w:val="00B861B4"/>
    <w:rsid w:val="00B87B44"/>
    <w:rsid w:val="00B87D97"/>
    <w:rsid w:val="00B91914"/>
    <w:rsid w:val="00B936AB"/>
    <w:rsid w:val="00B94185"/>
    <w:rsid w:val="00B97E61"/>
    <w:rsid w:val="00BA1918"/>
    <w:rsid w:val="00BA597B"/>
    <w:rsid w:val="00BB0118"/>
    <w:rsid w:val="00BB1F3E"/>
    <w:rsid w:val="00BB25E9"/>
    <w:rsid w:val="00BC0163"/>
    <w:rsid w:val="00BC0624"/>
    <w:rsid w:val="00BC1158"/>
    <w:rsid w:val="00BC1616"/>
    <w:rsid w:val="00BC31DE"/>
    <w:rsid w:val="00BD0CD1"/>
    <w:rsid w:val="00BD365F"/>
    <w:rsid w:val="00BD538D"/>
    <w:rsid w:val="00BE4378"/>
    <w:rsid w:val="00BE4C9B"/>
    <w:rsid w:val="00BE561A"/>
    <w:rsid w:val="00BF1596"/>
    <w:rsid w:val="00BF1AA6"/>
    <w:rsid w:val="00BF6F3C"/>
    <w:rsid w:val="00BF7120"/>
    <w:rsid w:val="00C003C5"/>
    <w:rsid w:val="00C02519"/>
    <w:rsid w:val="00C04A5F"/>
    <w:rsid w:val="00C105AF"/>
    <w:rsid w:val="00C110BC"/>
    <w:rsid w:val="00C12ACE"/>
    <w:rsid w:val="00C238E3"/>
    <w:rsid w:val="00C23EF5"/>
    <w:rsid w:val="00C26015"/>
    <w:rsid w:val="00C27EA6"/>
    <w:rsid w:val="00C33358"/>
    <w:rsid w:val="00C416EC"/>
    <w:rsid w:val="00C43BB0"/>
    <w:rsid w:val="00C443D6"/>
    <w:rsid w:val="00C44D7C"/>
    <w:rsid w:val="00C527FF"/>
    <w:rsid w:val="00C56719"/>
    <w:rsid w:val="00C6246A"/>
    <w:rsid w:val="00C753C0"/>
    <w:rsid w:val="00C80134"/>
    <w:rsid w:val="00C85C62"/>
    <w:rsid w:val="00C86EA0"/>
    <w:rsid w:val="00C96927"/>
    <w:rsid w:val="00CA2200"/>
    <w:rsid w:val="00CB13C0"/>
    <w:rsid w:val="00CB18C1"/>
    <w:rsid w:val="00CB4CDD"/>
    <w:rsid w:val="00CB4E14"/>
    <w:rsid w:val="00CC2F4A"/>
    <w:rsid w:val="00CC415C"/>
    <w:rsid w:val="00CD29E9"/>
    <w:rsid w:val="00CD379D"/>
    <w:rsid w:val="00CD3AC4"/>
    <w:rsid w:val="00CE3074"/>
    <w:rsid w:val="00CE3B2B"/>
    <w:rsid w:val="00CE4288"/>
    <w:rsid w:val="00CE4327"/>
    <w:rsid w:val="00CF4CCA"/>
    <w:rsid w:val="00CF7ABA"/>
    <w:rsid w:val="00D05086"/>
    <w:rsid w:val="00D05D12"/>
    <w:rsid w:val="00D07F7D"/>
    <w:rsid w:val="00D1032B"/>
    <w:rsid w:val="00D15851"/>
    <w:rsid w:val="00D34EEA"/>
    <w:rsid w:val="00D35165"/>
    <w:rsid w:val="00D41BDD"/>
    <w:rsid w:val="00D4259C"/>
    <w:rsid w:val="00D42E6F"/>
    <w:rsid w:val="00D44F6C"/>
    <w:rsid w:val="00D4576A"/>
    <w:rsid w:val="00D469B1"/>
    <w:rsid w:val="00D47121"/>
    <w:rsid w:val="00D65CD1"/>
    <w:rsid w:val="00D65E58"/>
    <w:rsid w:val="00D6626A"/>
    <w:rsid w:val="00D6633A"/>
    <w:rsid w:val="00D72DA0"/>
    <w:rsid w:val="00D820F7"/>
    <w:rsid w:val="00D866EB"/>
    <w:rsid w:val="00D961F4"/>
    <w:rsid w:val="00D965F2"/>
    <w:rsid w:val="00DA0A42"/>
    <w:rsid w:val="00DA44BC"/>
    <w:rsid w:val="00DA6912"/>
    <w:rsid w:val="00DA71B8"/>
    <w:rsid w:val="00DB0CC7"/>
    <w:rsid w:val="00DB2DCB"/>
    <w:rsid w:val="00DC1BFF"/>
    <w:rsid w:val="00DC59B3"/>
    <w:rsid w:val="00DD1725"/>
    <w:rsid w:val="00DD1BE8"/>
    <w:rsid w:val="00DD3E3F"/>
    <w:rsid w:val="00DD55CB"/>
    <w:rsid w:val="00DE6810"/>
    <w:rsid w:val="00DF1983"/>
    <w:rsid w:val="00DF48EE"/>
    <w:rsid w:val="00DF511B"/>
    <w:rsid w:val="00E07D7A"/>
    <w:rsid w:val="00E11F97"/>
    <w:rsid w:val="00E135B2"/>
    <w:rsid w:val="00E17F21"/>
    <w:rsid w:val="00E20810"/>
    <w:rsid w:val="00E24BF2"/>
    <w:rsid w:val="00E254B3"/>
    <w:rsid w:val="00E25849"/>
    <w:rsid w:val="00E25F06"/>
    <w:rsid w:val="00E27CD9"/>
    <w:rsid w:val="00E335FC"/>
    <w:rsid w:val="00E369C1"/>
    <w:rsid w:val="00E409F9"/>
    <w:rsid w:val="00E4189F"/>
    <w:rsid w:val="00E51E22"/>
    <w:rsid w:val="00E54D8F"/>
    <w:rsid w:val="00E63B16"/>
    <w:rsid w:val="00E63FD5"/>
    <w:rsid w:val="00E64D80"/>
    <w:rsid w:val="00E65458"/>
    <w:rsid w:val="00E65A4E"/>
    <w:rsid w:val="00E67315"/>
    <w:rsid w:val="00E67695"/>
    <w:rsid w:val="00E70840"/>
    <w:rsid w:val="00E7176C"/>
    <w:rsid w:val="00E73408"/>
    <w:rsid w:val="00E83E1B"/>
    <w:rsid w:val="00E91D72"/>
    <w:rsid w:val="00EA3941"/>
    <w:rsid w:val="00EB1105"/>
    <w:rsid w:val="00EB1E60"/>
    <w:rsid w:val="00EC2F24"/>
    <w:rsid w:val="00EC38E4"/>
    <w:rsid w:val="00EC3A7D"/>
    <w:rsid w:val="00EC40D3"/>
    <w:rsid w:val="00EC71EF"/>
    <w:rsid w:val="00ED79D3"/>
    <w:rsid w:val="00EE1D26"/>
    <w:rsid w:val="00EE31DA"/>
    <w:rsid w:val="00EE3E98"/>
    <w:rsid w:val="00EE4833"/>
    <w:rsid w:val="00EF19C8"/>
    <w:rsid w:val="00EF4FEE"/>
    <w:rsid w:val="00EF55CC"/>
    <w:rsid w:val="00F01FCB"/>
    <w:rsid w:val="00F026C3"/>
    <w:rsid w:val="00F02E2B"/>
    <w:rsid w:val="00F042E6"/>
    <w:rsid w:val="00F04729"/>
    <w:rsid w:val="00F12463"/>
    <w:rsid w:val="00F12F74"/>
    <w:rsid w:val="00F16828"/>
    <w:rsid w:val="00F22CA8"/>
    <w:rsid w:val="00F27E7B"/>
    <w:rsid w:val="00F326D3"/>
    <w:rsid w:val="00F33E94"/>
    <w:rsid w:val="00F33FE2"/>
    <w:rsid w:val="00F3414A"/>
    <w:rsid w:val="00F546B7"/>
    <w:rsid w:val="00F57C28"/>
    <w:rsid w:val="00F62572"/>
    <w:rsid w:val="00F82F27"/>
    <w:rsid w:val="00F867A9"/>
    <w:rsid w:val="00F9018E"/>
    <w:rsid w:val="00F92F96"/>
    <w:rsid w:val="00FA1CEA"/>
    <w:rsid w:val="00FA2743"/>
    <w:rsid w:val="00FA2FF2"/>
    <w:rsid w:val="00FC1759"/>
    <w:rsid w:val="00FC1B24"/>
    <w:rsid w:val="00FD2242"/>
    <w:rsid w:val="00FD2D4B"/>
    <w:rsid w:val="00FD4272"/>
    <w:rsid w:val="00FE274C"/>
    <w:rsid w:val="00FE64BC"/>
    <w:rsid w:val="00FF1E24"/>
    <w:rsid w:val="00FF4FC8"/>
    <w:rsid w:val="00FF77C3"/>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EFB41"/>
  <w15:docId w15:val="{B8FFF0A4-DF19-484B-8E64-B89DD57DC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255"/>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pPr>
      <w:pageBreakBefore/>
      <w:numPr>
        <w:numId w:val="33"/>
      </w:numPr>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rsid w:val="00B56D35"/>
    <w:pPr>
      <w:keepNext/>
      <w:keepLines/>
      <w:numPr>
        <w:ilvl w:val="1"/>
        <w:numId w:val="33"/>
      </w:numPr>
      <w:spacing w:after="120"/>
      <w:ind w:left="964"/>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611221"/>
    <w:pPr>
      <w:keepNext/>
      <w:numPr>
        <w:ilvl w:val="2"/>
        <w:numId w:val="33"/>
      </w:numPr>
      <w:spacing w:before="120" w:after="120"/>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sid w:val="00B56D35"/>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611221"/>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tabs>
        <w:tab w:val="num" w:pos="360"/>
      </w:tabs>
      <w:ind w:left="0" w:firstLine="0"/>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character" w:customStyle="1" w:styleId="UnresolvedMention1">
    <w:name w:val="Unresolved Mention1"/>
    <w:basedOn w:val="DefaultParagraphFont"/>
    <w:uiPriority w:val="99"/>
    <w:semiHidden/>
    <w:unhideWhenUsed/>
    <w:rsid w:val="00EE4833"/>
    <w:rPr>
      <w:color w:val="605E5C"/>
      <w:shd w:val="clear" w:color="auto" w:fill="E1DFDD"/>
    </w:rPr>
  </w:style>
  <w:style w:type="character" w:styleId="SubtleEmphasis">
    <w:name w:val="Subtle Emphasis"/>
    <w:basedOn w:val="DefaultParagraphFont"/>
    <w:uiPriority w:val="19"/>
    <w:qFormat/>
    <w:rsid w:val="009C6831"/>
    <w:rPr>
      <w:i/>
      <w:iCs/>
      <w:color w:val="404040" w:themeColor="text1" w:themeTint="BF"/>
    </w:rPr>
  </w:style>
  <w:style w:type="paragraph" w:styleId="Revision">
    <w:name w:val="Revision"/>
    <w:hidden/>
    <w:uiPriority w:val="99"/>
    <w:semiHidden/>
    <w:rsid w:val="004D3EE5"/>
    <w:rPr>
      <w:rFonts w:eastAsiaTheme="minorHAnsi" w:cstheme="minorBidi"/>
      <w:sz w:val="22"/>
      <w:szCs w:val="22"/>
      <w:lang w:eastAsia="en-US"/>
    </w:rPr>
  </w:style>
  <w:style w:type="paragraph" w:styleId="ListParagraph">
    <w:name w:val="List Paragraph"/>
    <w:basedOn w:val="Normal"/>
    <w:uiPriority w:val="99"/>
    <w:qFormat/>
    <w:rsid w:val="000509C8"/>
    <w:pPr>
      <w:ind w:left="720"/>
      <w:contextualSpacing/>
    </w:pPr>
  </w:style>
  <w:style w:type="character" w:customStyle="1" w:styleId="UnresolvedMention2">
    <w:name w:val="Unresolved Mention2"/>
    <w:basedOn w:val="DefaultParagraphFont"/>
    <w:uiPriority w:val="99"/>
    <w:rsid w:val="00733335"/>
    <w:rPr>
      <w:color w:val="605E5C"/>
      <w:shd w:val="clear" w:color="auto" w:fill="E1DFDD"/>
    </w:rPr>
  </w:style>
  <w:style w:type="character" w:styleId="UnresolvedMention">
    <w:name w:val="Unresolved Mention"/>
    <w:basedOn w:val="DefaultParagraphFont"/>
    <w:uiPriority w:val="99"/>
    <w:rsid w:val="00BC06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46438">
      <w:bodyDiv w:val="1"/>
      <w:marLeft w:val="0"/>
      <w:marRight w:val="0"/>
      <w:marTop w:val="0"/>
      <w:marBottom w:val="0"/>
      <w:divBdr>
        <w:top w:val="none" w:sz="0" w:space="0" w:color="auto"/>
        <w:left w:val="none" w:sz="0" w:space="0" w:color="auto"/>
        <w:bottom w:val="none" w:sz="0" w:space="0" w:color="auto"/>
        <w:right w:val="none" w:sz="0" w:space="0" w:color="auto"/>
      </w:divBdr>
    </w:div>
    <w:div w:id="373970139">
      <w:bodyDiv w:val="1"/>
      <w:marLeft w:val="0"/>
      <w:marRight w:val="0"/>
      <w:marTop w:val="0"/>
      <w:marBottom w:val="0"/>
      <w:divBdr>
        <w:top w:val="none" w:sz="0" w:space="0" w:color="auto"/>
        <w:left w:val="none" w:sz="0" w:space="0" w:color="auto"/>
        <w:bottom w:val="none" w:sz="0" w:space="0" w:color="auto"/>
        <w:right w:val="none" w:sz="0" w:space="0" w:color="auto"/>
      </w:divBdr>
    </w:div>
    <w:div w:id="574750873">
      <w:bodyDiv w:val="1"/>
      <w:marLeft w:val="0"/>
      <w:marRight w:val="0"/>
      <w:marTop w:val="0"/>
      <w:marBottom w:val="0"/>
      <w:divBdr>
        <w:top w:val="none" w:sz="0" w:space="0" w:color="auto"/>
        <w:left w:val="none" w:sz="0" w:space="0" w:color="auto"/>
        <w:bottom w:val="none" w:sz="0" w:space="0" w:color="auto"/>
        <w:right w:val="none" w:sz="0" w:space="0" w:color="auto"/>
      </w:divBdr>
    </w:div>
    <w:div w:id="652224887">
      <w:bodyDiv w:val="1"/>
      <w:marLeft w:val="0"/>
      <w:marRight w:val="0"/>
      <w:marTop w:val="0"/>
      <w:marBottom w:val="0"/>
      <w:divBdr>
        <w:top w:val="none" w:sz="0" w:space="0" w:color="auto"/>
        <w:left w:val="none" w:sz="0" w:space="0" w:color="auto"/>
        <w:bottom w:val="none" w:sz="0" w:space="0" w:color="auto"/>
        <w:right w:val="none" w:sz="0" w:space="0" w:color="auto"/>
      </w:divBdr>
    </w:div>
    <w:div w:id="66093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hyperlink" Target="mailto:wels@dcceew.gov.au" TargetMode="External"/><Relationship Id="rId21" Type="http://schemas.openxmlformats.org/officeDocument/2006/relationships/image" Target="media/image7.png"/><Relationship Id="rId34" Type="http://schemas.openxmlformats.org/officeDocument/2006/relationships/hyperlink" Target="https://www.waterrating.gov.au/enforce/penalties/infringement-notice-statement" TargetMode="External"/><Relationship Id="rId7" Type="http://schemas.openxmlformats.org/officeDocument/2006/relationships/settings" Target="settings.xml"/><Relationship Id="rId12" Type="http://schemas.openxmlformats.org/officeDocument/2006/relationships/hyperlink" Target="mailto:copyright@dcceew.gov.au" TargetMode="External"/><Relationship Id="rId17" Type="http://schemas.openxmlformats.org/officeDocument/2006/relationships/hyperlink" Target="https://www.waterrating.gov.au/" TargetMode="External"/><Relationship Id="rId25" Type="http://schemas.openxmlformats.org/officeDocument/2006/relationships/hyperlink" Target="https://www.waterrating.gov.au/about/contact" TargetMode="External"/><Relationship Id="rId33" Type="http://schemas.openxmlformats.org/officeDocument/2006/relationships/image" Target="media/image16.sv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png"/><Relationship Id="rId29" Type="http://schemas.openxmlformats.org/officeDocument/2006/relationships/image" Target="media/image12.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0.svg"/><Relationship Id="rId32" Type="http://schemas.openxmlformats.org/officeDocument/2006/relationships/image" Target="media/image15.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9.png"/><Relationship Id="rId28" Type="http://schemas.openxmlformats.org/officeDocument/2006/relationships/image" Target="media/image11.png"/><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5.jpeg"/><Relationship Id="rId31" Type="http://schemas.openxmlformats.org/officeDocument/2006/relationships/image" Target="media/image14.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8.png"/><Relationship Id="rId27" Type="http://schemas.openxmlformats.org/officeDocument/2006/relationships/hyperlink" Target="mailto:welscompliance@dcceew.gov.au" TargetMode="External"/><Relationship Id="rId30" Type="http://schemas.openxmlformats.org/officeDocument/2006/relationships/image" Target="media/image13.png"/><Relationship Id="rId35" Type="http://schemas.openxmlformats.org/officeDocument/2006/relationships/hyperlink" Target="https://www.dcceew.gov.au/about/reporting/freedom-of-information"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52B8D132-75AB-459B-A756-BB3E0D39563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F9C7544358EA649A4608EA827B8EFD4" ma:contentTypeVersion="" ma:contentTypeDescription="PDMS Document Site Content Type" ma:contentTypeScope="" ma:versionID="d8bf8a383c20a19dd76a14c3f6030edd">
  <xsd:schema xmlns:xsd="http://www.w3.org/2001/XMLSchema" xmlns:xs="http://www.w3.org/2001/XMLSchema" xmlns:p="http://schemas.microsoft.com/office/2006/metadata/properties" xmlns:ns2="52B8D132-75AB-459B-A756-BB3E0D395638" targetNamespace="http://schemas.microsoft.com/office/2006/metadata/properties" ma:root="true" ma:fieldsID="29e35d18a09b32b7e3656c3e45a0c842" ns2:_="">
    <xsd:import namespace="52B8D132-75AB-459B-A756-BB3E0D39563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B8D132-75AB-459B-A756-BB3E0D39563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E104AF69-142E-479B-87B8-9F2CE56EC3C9}">
  <ds:schemaRefs>
    <ds:schemaRef ds:uri="http://schemas.openxmlformats.org/officeDocument/2006/bibliography"/>
  </ds:schemaRefs>
</ds:datastoreItem>
</file>

<file path=customXml/itemProps3.xml><?xml version="1.0" encoding="utf-8"?>
<ds:datastoreItem xmlns:ds="http://schemas.openxmlformats.org/officeDocument/2006/customXml" ds:itemID="{9D1CAD33-3B39-4665-A5E6-666D035120E9}">
  <ds:schemaRefs>
    <ds:schemaRef ds:uri="http://purl.org/dc/dcmitype/"/>
    <ds:schemaRef ds:uri="http://schemas.openxmlformats.org/package/2006/metadata/core-properties"/>
    <ds:schemaRef ds:uri="http://www.w3.org/XML/1998/namespace"/>
    <ds:schemaRef ds:uri="http://schemas.microsoft.com/office/2006/documentManagement/types"/>
    <ds:schemaRef ds:uri="http://purl.org/dc/terms/"/>
    <ds:schemaRef ds:uri="http://schemas.microsoft.com/office/2006/metadata/properties"/>
    <ds:schemaRef ds:uri="http://schemas.microsoft.com/office/infopath/2007/PartnerControls"/>
    <ds:schemaRef ds:uri="52B8D132-75AB-459B-A756-BB3E0D395638"/>
    <ds:schemaRef ds:uri="http://purl.org/dc/elements/1.1/"/>
  </ds:schemaRefs>
</ds:datastoreItem>
</file>

<file path=customXml/itemProps4.xml><?xml version="1.0" encoding="utf-8"?>
<ds:datastoreItem xmlns:ds="http://schemas.openxmlformats.org/officeDocument/2006/customXml" ds:itemID="{D216E32C-D63A-422D-974C-68012CCD1E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B8D132-75AB-459B-A756-BB3E0D3956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4168</Words>
  <Characters>23761</Characters>
  <Application>Microsoft Office Word</Application>
  <DocSecurity>4</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Efficiency Labelling and Standards scheme Compliance and Enforcement Policy 2022</dc:title>
  <dc:creator>Water Efficiency Labelling and Standards Regulator</dc:creator>
  <cp:lastModifiedBy>Durack, Bec</cp:lastModifiedBy>
  <cp:revision>2</cp:revision>
  <cp:lastPrinted>2023-01-25T03:30:00Z</cp:lastPrinted>
  <dcterms:created xsi:type="dcterms:W3CDTF">2023-01-31T23:28:00Z</dcterms:created>
  <dcterms:modified xsi:type="dcterms:W3CDTF">2023-01-31T23:28:00Z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701033041</vt:i4>
  </property>
  <property fmtid="{D5CDD505-2E9C-101B-9397-08002B2CF9AE}" pid="3" name="ContentTypeId">
    <vt:lpwstr>0x010100266966F133664895A6EE3632470D45F5003F9C7544358EA649A4608EA827B8EFD4</vt:lpwstr>
  </property>
</Properties>
</file>