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1.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2.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35856">
      <w:pPr>
        <w:pStyle w:val="BodyText2"/>
        <w:keepNext w:val="0"/>
        <w:tabs>
          <w:tab w:val="left" w:pos="1880"/>
        </w:tabs>
        <w:rPr>
          <w:b/>
        </w:rPr>
      </w:pPr>
    </w:p>
    <w:p w:rsidR="00000000" w:rsidRDefault="00D35856">
      <w:pPr>
        <w:pStyle w:val="BodyText2"/>
        <w:keepNext w:val="0"/>
        <w:tabs>
          <w:tab w:val="left" w:pos="1880"/>
        </w:tabs>
        <w:rPr>
          <w:b/>
        </w:rPr>
      </w:pPr>
    </w:p>
    <w:p w:rsidR="00000000" w:rsidRDefault="00D35856">
      <w:pPr>
        <w:pStyle w:val="BodyText2"/>
        <w:keepNext w:val="0"/>
        <w:tabs>
          <w:tab w:val="left" w:pos="1880"/>
        </w:tabs>
        <w:rPr>
          <w:b/>
          <w:sz w:val="18"/>
        </w:rPr>
      </w:pPr>
    </w:p>
    <w:p w:rsidR="00000000" w:rsidRDefault="00D35856">
      <w:pPr>
        <w:pStyle w:val="Halftitle"/>
        <w:rPr>
          <w:rFonts w:ascii="Arial" w:hAnsi="Arial" w:cs="Arial"/>
          <w:spacing w:val="-10"/>
        </w:rPr>
      </w:pPr>
      <w:r>
        <w:rPr>
          <w:rFonts w:ascii="Arial" w:hAnsi="Arial" w:cs="Arial"/>
          <w:spacing w:val="-10"/>
        </w:rPr>
        <w:t xml:space="preserve">COST EFFECTIVENESS ANALYSIS of WELS </w:t>
      </w:r>
    </w:p>
    <w:p w:rsidR="00000000" w:rsidRDefault="00D35856">
      <w:pPr>
        <w:pStyle w:val="Halftitlesubtitle"/>
        <w:tabs>
          <w:tab w:val="left" w:pos="360"/>
          <w:tab w:val="center" w:pos="4509"/>
        </w:tabs>
        <w:rPr>
          <w:rFonts w:ascii="Arial" w:hAnsi="Arial" w:cs="Arial"/>
          <w:spacing w:val="-10"/>
          <w:sz w:val="30"/>
          <w:szCs w:val="30"/>
        </w:rPr>
      </w:pPr>
      <w:r>
        <w:rPr>
          <w:rFonts w:ascii="Arial" w:hAnsi="Arial" w:cs="Arial"/>
          <w:spacing w:val="-10"/>
          <w:sz w:val="30"/>
          <w:szCs w:val="30"/>
        </w:rPr>
        <w:t>the WATER EFFICIENCY LABELLING and STANDARDS SCHEME</w:t>
      </w:r>
    </w:p>
    <w:p w:rsidR="00000000" w:rsidRDefault="00D35856">
      <w:pPr>
        <w:pStyle w:val="Halftitletext"/>
        <w:rPr>
          <w:rFonts w:ascii="Arial" w:hAnsi="Arial" w:cs="Arial"/>
          <w:spacing w:val="-10"/>
        </w:rPr>
      </w:pPr>
    </w:p>
    <w:p w:rsidR="00000000" w:rsidRDefault="00D35856">
      <w:pPr>
        <w:pStyle w:val="Halftitletext"/>
        <w:rPr>
          <w:rFonts w:ascii="Arial" w:hAnsi="Arial" w:cs="Arial"/>
          <w:spacing w:val="-10"/>
        </w:rPr>
      </w:pPr>
    </w:p>
    <w:p w:rsidR="00000000" w:rsidRDefault="00D35856">
      <w:pPr>
        <w:pStyle w:val="Halftitletext"/>
        <w:rPr>
          <w:rFonts w:ascii="Arial" w:hAnsi="Arial" w:cs="Arial"/>
          <w:spacing w:val="-10"/>
          <w:sz w:val="18"/>
        </w:rPr>
      </w:pPr>
    </w:p>
    <w:p w:rsidR="00000000" w:rsidRDefault="00D35856">
      <w:pPr>
        <w:pStyle w:val="Halftitletext"/>
        <w:rPr>
          <w:rFonts w:ascii="Arial" w:hAnsi="Arial" w:cs="Arial"/>
          <w:spacing w:val="-10"/>
        </w:rPr>
      </w:pPr>
      <w:r>
        <w:rPr>
          <w:rFonts w:ascii="Arial" w:hAnsi="Arial" w:cs="Arial"/>
          <w:spacing w:val="-10"/>
        </w:rPr>
        <w:t>Final Report</w:t>
      </w:r>
    </w:p>
    <w:p w:rsidR="00000000" w:rsidRDefault="00D35856">
      <w:pPr>
        <w:pStyle w:val="Halftitletext"/>
        <w:rPr>
          <w:rFonts w:ascii="Arial" w:hAnsi="Arial" w:cs="Arial"/>
          <w:spacing w:val="-10"/>
        </w:rPr>
      </w:pPr>
      <w:r>
        <w:rPr>
          <w:rFonts w:ascii="Arial" w:hAnsi="Arial" w:cs="Arial"/>
          <w:spacing w:val="-10"/>
        </w:rPr>
        <w:t>May 2008</w:t>
      </w:r>
    </w:p>
    <w:p w:rsidR="00000000" w:rsidRDefault="00D35856">
      <w:pPr>
        <w:pStyle w:val="Halftitletext"/>
        <w:rPr>
          <w:rFonts w:ascii="Arial" w:hAnsi="Arial" w:cs="Arial"/>
          <w:b/>
          <w:spacing w:val="-10"/>
          <w:sz w:val="32"/>
        </w:rPr>
      </w:pPr>
    </w:p>
    <w:p w:rsidR="00000000" w:rsidRDefault="00D35856">
      <w:pPr>
        <w:pStyle w:val="Halftitletext"/>
        <w:rPr>
          <w:rFonts w:ascii="Arial" w:hAnsi="Arial" w:cs="Arial"/>
          <w:i/>
          <w:spacing w:val="-10"/>
          <w:sz w:val="32"/>
        </w:rPr>
      </w:pPr>
    </w:p>
    <w:p w:rsidR="00000000" w:rsidRDefault="00D35856">
      <w:pPr>
        <w:pStyle w:val="Halftitletext"/>
        <w:rPr>
          <w:rFonts w:ascii="Arial" w:hAnsi="Arial" w:cs="Arial"/>
          <w:i/>
          <w:spacing w:val="-10"/>
          <w:sz w:val="32"/>
        </w:rPr>
      </w:pPr>
    </w:p>
    <w:p w:rsidR="00000000" w:rsidRDefault="00D35856">
      <w:pPr>
        <w:pStyle w:val="Halftitletext"/>
        <w:rPr>
          <w:rFonts w:ascii="Arial" w:hAnsi="Arial" w:cs="Arial"/>
          <w:spacing w:val="-10"/>
        </w:rPr>
      </w:pPr>
      <w:r>
        <w:rPr>
          <w:rFonts w:ascii="Arial" w:hAnsi="Arial" w:cs="Arial"/>
          <w:spacing w:val="-10"/>
        </w:rPr>
        <w:t>for the Australian Government</w:t>
      </w:r>
    </w:p>
    <w:p w:rsidR="00000000" w:rsidRDefault="00D35856">
      <w:pPr>
        <w:pStyle w:val="Halftitletext"/>
        <w:rPr>
          <w:rFonts w:ascii="Arial" w:hAnsi="Arial" w:cs="Arial"/>
          <w:spacing w:val="-10"/>
        </w:rPr>
      </w:pPr>
      <w:r>
        <w:rPr>
          <w:rFonts w:ascii="Arial" w:hAnsi="Arial" w:cs="Arial"/>
          <w:spacing w:val="-10"/>
        </w:rPr>
        <w:t xml:space="preserve">Department of the Environment, Water, Heritage and the Arts </w:t>
      </w:r>
    </w:p>
    <w:p w:rsidR="00000000" w:rsidRDefault="00D35856">
      <w:pPr>
        <w:pStyle w:val="Halftitletext"/>
        <w:rPr>
          <w:rFonts w:ascii="Arial" w:hAnsi="Arial" w:cs="Arial"/>
          <w:spacing w:val="-10"/>
        </w:rPr>
      </w:pPr>
    </w:p>
    <w:p w:rsidR="00000000" w:rsidRDefault="00D35856">
      <w:pPr>
        <w:pStyle w:val="Halftitletext"/>
        <w:jc w:val="left"/>
        <w:rPr>
          <w:rFonts w:ascii="Arial" w:hAnsi="Arial" w:cs="Arial"/>
          <w:spacing w:val="-10"/>
        </w:rPr>
      </w:pPr>
    </w:p>
    <w:p w:rsidR="00000000" w:rsidRDefault="00D35856">
      <w:pPr>
        <w:pStyle w:val="Halftitletext"/>
        <w:rPr>
          <w:rFonts w:ascii="Arial" w:hAnsi="Arial" w:cs="Arial"/>
          <w:spacing w:val="-10"/>
        </w:rPr>
      </w:pPr>
      <w:r>
        <w:rPr>
          <w:rFonts w:ascii="Arial" w:hAnsi="Arial" w:cs="Arial"/>
          <w:spacing w:val="-10"/>
        </w:rPr>
        <w:t>Authors</w:t>
      </w:r>
    </w:p>
    <w:p w:rsidR="00000000" w:rsidRDefault="00D35856">
      <w:pPr>
        <w:pStyle w:val="Halftitletext"/>
        <w:rPr>
          <w:rFonts w:ascii="Arial" w:hAnsi="Arial" w:cs="Arial"/>
          <w:spacing w:val="-10"/>
        </w:rPr>
      </w:pPr>
      <w:r>
        <w:rPr>
          <w:rFonts w:ascii="Arial" w:hAnsi="Arial" w:cs="Arial"/>
          <w:spacing w:val="-10"/>
        </w:rPr>
        <w:t xml:space="preserve">Joanne Chong, Alex Kazaglis &amp; Damien Giurco </w:t>
      </w:r>
    </w:p>
    <w:p w:rsidR="00000000" w:rsidRDefault="00D35856">
      <w:pPr>
        <w:pStyle w:val="Halftitletext"/>
        <w:rPr>
          <w:rFonts w:ascii="Arial" w:hAnsi="Arial" w:cs="Arial"/>
          <w:spacing w:val="-10"/>
        </w:rPr>
      </w:pPr>
    </w:p>
    <w:p w:rsidR="00000000" w:rsidRDefault="00D35856">
      <w:pPr>
        <w:pStyle w:val="Halftitletext"/>
        <w:rPr>
          <w:rFonts w:ascii="Arial" w:hAnsi="Arial" w:cs="Arial"/>
          <w:spacing w:val="-10"/>
        </w:rPr>
      </w:pPr>
    </w:p>
    <w:p w:rsidR="00000000" w:rsidRDefault="00D35856">
      <w:pPr>
        <w:pStyle w:val="Halftitletext"/>
        <w:rPr>
          <w:rFonts w:ascii="Arial" w:hAnsi="Arial" w:cs="Arial"/>
          <w:spacing w:val="-10"/>
        </w:rPr>
      </w:pPr>
      <w:r>
        <w:rPr>
          <w:rFonts w:ascii="Arial" w:hAnsi="Arial" w:cs="Arial"/>
          <w:spacing w:val="-10"/>
        </w:rPr>
        <w:t>Institute for Sustainable Futures</w:t>
      </w:r>
    </w:p>
    <w:p w:rsidR="00000000" w:rsidRDefault="00D35856">
      <w:pPr>
        <w:pStyle w:val="Halftitletext"/>
        <w:rPr>
          <w:b/>
          <w:spacing w:val="-10"/>
        </w:rPr>
        <w:sectPr w:rsidR="00000000">
          <w:headerReference w:type="default" r:id="rId7"/>
          <w:pgSz w:w="11899" w:h="16838"/>
          <w:pgMar w:top="1361" w:right="1701" w:bottom="1361" w:left="1701" w:header="680" w:footer="420" w:gutter="0"/>
          <w:cols w:space="720"/>
        </w:sectPr>
      </w:pPr>
      <w:r>
        <w:rPr>
          <w:rFonts w:ascii="Arial" w:hAnsi="Arial" w:cs="Arial"/>
          <w:spacing w:val="-10"/>
          <w:szCs w:val="28"/>
        </w:rPr>
        <w:sym w:font="Symbol" w:char="F0E3"/>
      </w:r>
      <w:r>
        <w:rPr>
          <w:rFonts w:ascii="Arial" w:hAnsi="Arial" w:cs="Arial"/>
          <w:spacing w:val="-10"/>
        </w:rPr>
        <w:t xml:space="preserve"> UTS 2008</w:t>
      </w:r>
    </w:p>
    <w:p w:rsidR="00000000" w:rsidRDefault="00D35856">
      <w:pPr>
        <w:pStyle w:val="Headingother"/>
        <w:rPr>
          <w:color w:val="auto"/>
        </w:rPr>
      </w:pPr>
      <w:bookmarkStart w:id="0" w:name="_Toc45079419"/>
      <w:r>
        <w:rPr>
          <w:color w:val="auto"/>
        </w:rPr>
        <w:lastRenderedPageBreak/>
        <w:t>Disclaimer</w:t>
      </w:r>
      <w:bookmarkEnd w:id="0"/>
    </w:p>
    <w:p w:rsidR="00000000" w:rsidRDefault="00D35856">
      <w:pPr>
        <w:pStyle w:val="BodyText"/>
        <w:keepNext w:val="0"/>
        <w:ind w:right="-8"/>
      </w:pPr>
      <w:r>
        <w:t>While all due care and attention has been taken to establish the accuracy of the material published, UTS/ISF and the authors disclaim liability for any loss that may arise from any person acting in reliance upon the contents of this document.</w:t>
      </w:r>
    </w:p>
    <w:p w:rsidR="00000000" w:rsidRDefault="00D35856">
      <w:pPr>
        <w:pStyle w:val="BodyText"/>
        <w:keepNext w:val="0"/>
        <w:spacing w:after="0"/>
        <w:ind w:right="-8"/>
        <w:rPr>
          <w:rFonts w:ascii="Arial" w:hAnsi="Arial"/>
          <w:b/>
          <w:sz w:val="24"/>
        </w:rPr>
      </w:pPr>
    </w:p>
    <w:p w:rsidR="00000000" w:rsidRDefault="00D35856">
      <w:pPr>
        <w:pStyle w:val="BodyText"/>
        <w:keepNext w:val="0"/>
        <w:spacing w:after="0"/>
        <w:ind w:right="-8"/>
        <w:rPr>
          <w:rFonts w:ascii="Arial" w:hAnsi="Arial"/>
          <w:b/>
          <w:sz w:val="24"/>
        </w:rPr>
      </w:pPr>
    </w:p>
    <w:p w:rsidR="00000000" w:rsidRDefault="00D35856">
      <w:pPr>
        <w:keepNext w:val="0"/>
        <w:ind w:right="-8"/>
      </w:pPr>
    </w:p>
    <w:p w:rsidR="00000000" w:rsidRDefault="00D35856">
      <w:pPr>
        <w:keepNext w:val="0"/>
        <w:ind w:right="-8"/>
      </w:pPr>
    </w:p>
    <w:p w:rsidR="00000000" w:rsidRDefault="00D35856">
      <w:pPr>
        <w:pStyle w:val="Headingother"/>
        <w:pageBreakBefore w:val="0"/>
        <w:rPr>
          <w:color w:val="auto"/>
        </w:rPr>
      </w:pPr>
      <w:bookmarkStart w:id="1" w:name="_Toc45079420"/>
      <w:r>
        <w:rPr>
          <w:color w:val="auto"/>
        </w:rPr>
        <w:t>Acknowledgements</w:t>
      </w:r>
      <w:bookmarkEnd w:id="1"/>
    </w:p>
    <w:p w:rsidR="00000000" w:rsidRDefault="00D35856">
      <w:pPr>
        <w:keepNext w:val="0"/>
        <w:ind w:right="-8"/>
      </w:pPr>
      <w:r>
        <w:t>The authors would like to acknowledge the generous time and contributions made by those individuals and organisations contacted for this study, including manufacturers, importers, industry associations, retailers, vendors, t</w:t>
      </w:r>
      <w:r>
        <w:t>esting laboratories, and government agencies.</w:t>
      </w:r>
    </w:p>
    <w:p w:rsidR="00000000" w:rsidRDefault="00D35856">
      <w:pPr>
        <w:keepNext w:val="0"/>
        <w:ind w:right="-8"/>
      </w:pPr>
      <w:r>
        <w:t>We would also like to thank Lloyd Harrington from Energy Efficient Strategies for his insightful peer reviewing, and the WELS Advisory Committee members for their comments and feedbacks on the draft report.</w:t>
      </w:r>
    </w:p>
    <w:p w:rsidR="00000000" w:rsidRDefault="00D35856">
      <w:pPr>
        <w:pStyle w:val="TableText"/>
        <w:keepNext w:val="0"/>
        <w:widowControl/>
        <w:spacing w:after="240"/>
        <w:ind w:right="-8"/>
      </w:pPr>
    </w:p>
    <w:p w:rsidR="00000000" w:rsidRDefault="00D35856">
      <w:pPr>
        <w:keepNext w:val="0"/>
        <w:ind w:right="-8"/>
      </w:pPr>
    </w:p>
    <w:p w:rsidR="00000000" w:rsidRDefault="00D35856">
      <w:pPr>
        <w:keepNext w:val="0"/>
        <w:ind w:right="-8"/>
      </w:pPr>
    </w:p>
    <w:p w:rsidR="00000000" w:rsidRDefault="00D35856">
      <w:pPr>
        <w:keepNext w:val="0"/>
        <w:ind w:right="-8"/>
      </w:pPr>
    </w:p>
    <w:p w:rsidR="00000000" w:rsidRDefault="00D35856">
      <w:pPr>
        <w:keepNext w:val="0"/>
        <w:ind w:right="-8"/>
      </w:pPr>
    </w:p>
    <w:p w:rsidR="00000000" w:rsidRDefault="00D35856">
      <w:pPr>
        <w:keepNext w:val="0"/>
        <w:ind w:right="-8"/>
      </w:pPr>
    </w:p>
    <w:p w:rsidR="00000000" w:rsidRDefault="00D35856">
      <w:pPr>
        <w:keepNext w:val="0"/>
        <w:ind w:right="-8"/>
      </w:pPr>
    </w:p>
    <w:p w:rsidR="00000000" w:rsidRDefault="00D35856">
      <w:pPr>
        <w:keepNext w:val="0"/>
        <w:ind w:right="-8"/>
      </w:pPr>
    </w:p>
    <w:p w:rsidR="00000000" w:rsidRDefault="00D35856">
      <w:pPr>
        <w:pStyle w:val="Headingother"/>
        <w:pageBreakBefore w:val="0"/>
        <w:rPr>
          <w:color w:val="auto"/>
        </w:rPr>
      </w:pPr>
      <w:r>
        <w:rPr>
          <w:color w:val="auto"/>
        </w:rPr>
        <w:t>Citation</w:t>
      </w:r>
    </w:p>
    <w:p w:rsidR="00000000" w:rsidRDefault="00D35856">
      <w:pPr>
        <w:keepNext w:val="0"/>
        <w:ind w:right="-8"/>
      </w:pPr>
      <w:r>
        <w:t>Please cite this report as: Chong, J., Kazaglis A. and Giurco D. 2008, Cost effectiveness analysis of WELS – the Water Efficiency Labelling and Standards Scheme. Prepared for the Australian Government Department of the Environment, Water, Her</w:t>
      </w:r>
      <w:r>
        <w:t xml:space="preserve">itage and the Arts by the Institute for Sustainable Futures, University of Technology, Sydney. </w:t>
      </w:r>
    </w:p>
    <w:p w:rsidR="00000000" w:rsidRDefault="00D35856">
      <w:pPr>
        <w:pStyle w:val="BodyText"/>
        <w:keepNext w:val="0"/>
      </w:pPr>
    </w:p>
    <w:p w:rsidR="00000000" w:rsidRDefault="00D35856">
      <w:pPr>
        <w:pStyle w:val="BodyText"/>
        <w:keepNext w:val="0"/>
        <w:spacing w:line="520" w:lineRule="exact"/>
        <w:ind w:right="170"/>
        <w:outlineLvl w:val="8"/>
        <w:rPr>
          <w:rFonts w:ascii="BellGothic Bd BT" w:hAnsi="BellGothic Bd BT"/>
          <w:sz w:val="50"/>
        </w:rPr>
        <w:sectPr w:rsidR="00000000">
          <w:headerReference w:type="even" r:id="rId8"/>
          <w:headerReference w:type="default" r:id="rId9"/>
          <w:footerReference w:type="default" r:id="rId10"/>
          <w:headerReference w:type="first" r:id="rId11"/>
          <w:pgSz w:w="11899" w:h="16838"/>
          <w:pgMar w:top="1361" w:right="1701" w:bottom="1361" w:left="1701" w:header="680" w:footer="420" w:gutter="0"/>
          <w:pgNumType w:fmt="lowerRoman" w:start="1"/>
          <w:cols w:space="709"/>
        </w:sectPr>
      </w:pPr>
    </w:p>
    <w:p w:rsidR="00000000" w:rsidRDefault="00D35856">
      <w:pPr>
        <w:pStyle w:val="Headingother"/>
        <w:rPr>
          <w:color w:val="auto"/>
        </w:rPr>
      </w:pPr>
      <w:bookmarkStart w:id="2" w:name="_Toc45079421"/>
      <w:r>
        <w:rPr>
          <w:color w:val="auto"/>
        </w:rPr>
        <w:lastRenderedPageBreak/>
        <w:t>Executive Summary</w:t>
      </w:r>
      <w:bookmarkEnd w:id="2"/>
      <w:r>
        <w:rPr>
          <w:color w:val="auto"/>
        </w:rPr>
        <w:t xml:space="preserve"> </w:t>
      </w:r>
    </w:p>
    <w:p w:rsidR="00000000" w:rsidRDefault="00D35856">
      <w:pPr>
        <w:keepNext w:val="0"/>
        <w:rPr>
          <w:szCs w:val="22"/>
        </w:rPr>
      </w:pPr>
      <w:r>
        <w:rPr>
          <w:szCs w:val="22"/>
        </w:rPr>
        <w:t>The Water Efficiency Labelling and Standards Scheme (WELS), introduced in July 2006, is a key</w:t>
      </w:r>
      <w:r>
        <w:rPr>
          <w:szCs w:val="22"/>
        </w:rPr>
        <w:t xml:space="preserve"> program in the suite of options recently implemented by government agencies and water utilities to address water scarcity. </w:t>
      </w:r>
      <w:smartTag w:uri="urn:schemas-microsoft-com:office:smarttags" w:element="City">
        <w:r>
          <w:rPr>
            <w:szCs w:val="22"/>
          </w:rPr>
          <w:t>WELS</w:t>
        </w:r>
      </w:smartTag>
      <w:r>
        <w:rPr>
          <w:szCs w:val="22"/>
        </w:rPr>
        <w:t xml:space="preserve"> primarily influences water consumption by providing consumers with information about the water efficiency of all washing ma</w:t>
      </w:r>
      <w:r>
        <w:rPr>
          <w:szCs w:val="22"/>
        </w:rPr>
        <w:t xml:space="preserve">chines, dishwashers, toilets, urinals, taps and showers sold in </w:t>
      </w:r>
      <w:smartTag w:uri="urn:schemas-microsoft-com:office:smarttags" w:element="place">
        <w:smartTag w:uri="urn:schemas-microsoft-com:office:smarttags" w:element="country-region">
          <w:r>
            <w:rPr>
              <w:szCs w:val="22"/>
            </w:rPr>
            <w:t>Australia</w:t>
          </w:r>
        </w:smartTag>
      </w:smartTag>
      <w:r>
        <w:rPr>
          <w:szCs w:val="22"/>
        </w:rPr>
        <w:t xml:space="preserve"> – thus enabling consumers to consider water efficiency as a factor in their purchase decisions.</w:t>
      </w:r>
    </w:p>
    <w:p w:rsidR="00000000" w:rsidRDefault="00D35856">
      <w:pPr>
        <w:keepNext w:val="0"/>
        <w:rPr>
          <w:szCs w:val="22"/>
        </w:rPr>
      </w:pPr>
      <w:r>
        <w:rPr>
          <w:szCs w:val="22"/>
        </w:rPr>
        <w:t xml:space="preserve">However, the </w:t>
      </w:r>
      <w:smartTag w:uri="urn:schemas-microsoft-com:office:smarttags" w:element="City">
        <w:r>
          <w:rPr>
            <w:szCs w:val="22"/>
          </w:rPr>
          <w:t>WELS</w:t>
        </w:r>
      </w:smartTag>
      <w:r>
        <w:rPr>
          <w:szCs w:val="22"/>
        </w:rPr>
        <w:t xml:space="preserve"> program is not without costs. Governments</w:t>
      </w:r>
      <w:r>
        <w:rPr>
          <w:szCs w:val="22"/>
        </w:rPr>
        <w:t xml:space="preserve">, suppliers, retailers and consumers of WELS-products potentially incur costs due to </w:t>
      </w:r>
      <w:smartTag w:uri="urn:schemas-microsoft-com:office:smarttags" w:element="City">
        <w:r>
          <w:rPr>
            <w:szCs w:val="22"/>
          </w:rPr>
          <w:t>WELS</w:t>
        </w:r>
      </w:smartTag>
      <w:r>
        <w:rPr>
          <w:szCs w:val="22"/>
        </w:rPr>
        <w:t xml:space="preserve"> activities and requirements. The Department of the Environment, Heritage, Water and the Arts, in its capacity as the WELS Regulator, commissioned the </w:t>
      </w:r>
      <w:smartTag w:uri="urn:schemas-microsoft-com:office:smarttags" w:element="City">
        <w:r>
          <w:rPr>
            <w:szCs w:val="22"/>
          </w:rPr>
          <w:t>Inst</w:t>
        </w:r>
        <w:r>
          <w:rPr>
            <w:szCs w:val="22"/>
          </w:rPr>
          <w:t>itute</w:t>
        </w:r>
      </w:smartTag>
      <w:r>
        <w:rPr>
          <w:szCs w:val="22"/>
        </w:rPr>
        <w:t xml:space="preserve"> of </w:t>
      </w:r>
      <w:smartTag w:uri="urn:schemas-microsoft-com:office:smarttags" w:element="City">
        <w:r>
          <w:rPr>
            <w:szCs w:val="22"/>
          </w:rPr>
          <w:t>Sustainable Futures</w:t>
        </w:r>
      </w:smartTag>
      <w:r>
        <w:rPr>
          <w:szCs w:val="22"/>
        </w:rPr>
        <w:t xml:space="preserve"> to analyse the cost-effectiveness of </w:t>
      </w:r>
      <w:smartTag w:uri="urn:schemas-microsoft-com:office:smarttags" w:element="City">
        <w:r>
          <w:rPr>
            <w:szCs w:val="22"/>
          </w:rPr>
          <w:t>WELS</w:t>
        </w:r>
      </w:smartTag>
      <w:r>
        <w:rPr>
          <w:szCs w:val="22"/>
        </w:rPr>
        <w:t xml:space="preserve"> in contributing to the overarching objective of water security, compared to other urban water management options. Consistent with the regulatory impact statement conducted i</w:t>
      </w:r>
      <w:r>
        <w:rPr>
          <w:szCs w:val="22"/>
        </w:rPr>
        <w:t>n 2003, this analysis uses a time horizon of 2005-06 to 2020-21.</w:t>
      </w:r>
    </w:p>
    <w:p w:rsidR="00000000" w:rsidRDefault="00D35856">
      <w:pPr>
        <w:pStyle w:val="Heading4"/>
        <w:keepNext w:val="0"/>
        <w:rPr>
          <w:color w:val="auto"/>
        </w:rPr>
      </w:pPr>
      <w:smartTag w:uri="urn:schemas-microsoft-com:office:smarttags" w:element="City">
        <w:r>
          <w:rPr>
            <w:color w:val="auto"/>
          </w:rPr>
          <w:t>WELS</w:t>
        </w:r>
      </w:smartTag>
      <w:r>
        <w:rPr>
          <w:color w:val="auto"/>
        </w:rPr>
        <w:t xml:space="preserve"> contributes to water security by reducing water consumption</w:t>
      </w:r>
    </w:p>
    <w:p w:rsidR="00000000" w:rsidRDefault="00D35856">
      <w:pPr>
        <w:keepNext w:val="0"/>
        <w:rPr>
          <w:szCs w:val="22"/>
        </w:rPr>
      </w:pPr>
      <w:smartTag w:uri="urn:schemas-microsoft-com:office:smarttags" w:element="City">
        <w:r>
          <w:rPr>
            <w:szCs w:val="22"/>
          </w:rPr>
          <w:t>WELS</w:t>
        </w:r>
      </w:smartTag>
      <w:r>
        <w:rPr>
          <w:szCs w:val="22"/>
        </w:rPr>
        <w:t xml:space="preserve"> was introduced at a time of severe and prolonged drought across many Australian regions. During this peri</w:t>
      </w:r>
      <w:r>
        <w:rPr>
          <w:szCs w:val="22"/>
        </w:rPr>
        <w:t xml:space="preserve">od of water shortages and restrictions, many factors have combined to influence consumers’ decisions to purchase and use more water-efficient products, and it is inherently difficult to attribute water savings due to </w:t>
      </w:r>
      <w:smartTag w:uri="urn:schemas-microsoft-com:office:smarttags" w:element="City">
        <w:r>
          <w:rPr>
            <w:szCs w:val="22"/>
          </w:rPr>
          <w:t>WELS</w:t>
        </w:r>
      </w:smartTag>
      <w:r>
        <w:rPr>
          <w:szCs w:val="22"/>
        </w:rPr>
        <w:t xml:space="preserve"> or any other individual pr</w:t>
      </w:r>
      <w:r>
        <w:rPr>
          <w:szCs w:val="22"/>
        </w:rPr>
        <w:t>ogram.</w:t>
      </w:r>
    </w:p>
    <w:p w:rsidR="00000000" w:rsidRDefault="00D35856">
      <w:pPr>
        <w:keepNext w:val="0"/>
        <w:rPr>
          <w:szCs w:val="22"/>
        </w:rPr>
      </w:pPr>
      <w:r>
        <w:rPr>
          <w:szCs w:val="22"/>
        </w:rPr>
        <w:t>However, the expanded coverage of water efficiency information provision (compared to the previous voluntary labelling) is likely to have further encouraged consumers and suppliers to target water-efficient products. At least some of the offer and u</w:t>
      </w:r>
      <w:r>
        <w:rPr>
          <w:szCs w:val="22"/>
        </w:rPr>
        <w:t xml:space="preserve">ptake of rebates on water-efficient products can be attributed to </w:t>
      </w:r>
      <w:smartTag w:uri="urn:schemas-microsoft-com:office:smarttags" w:element="City">
        <w:r>
          <w:rPr>
            <w:szCs w:val="22"/>
          </w:rPr>
          <w:t>WELS</w:t>
        </w:r>
      </w:smartTag>
      <w:r>
        <w:rPr>
          <w:szCs w:val="22"/>
        </w:rPr>
        <w:t xml:space="preserve">. Furthermore, </w:t>
      </w:r>
      <w:smartTag w:uri="urn:schemas-microsoft-com:office:smarttags" w:element="City">
        <w:r>
          <w:rPr>
            <w:szCs w:val="22"/>
          </w:rPr>
          <w:t>WELS</w:t>
        </w:r>
      </w:smartTag>
      <w:r>
        <w:rPr>
          <w:szCs w:val="22"/>
        </w:rPr>
        <w:t xml:space="preserve"> has achieved water savings by enabling Australia-wide implementation of some building regulations and minimum standards targeting water efficiency.</w:t>
      </w:r>
    </w:p>
    <w:p w:rsidR="00000000" w:rsidRDefault="00D35856">
      <w:pPr>
        <w:keepNext w:val="0"/>
        <w:rPr>
          <w:szCs w:val="22"/>
        </w:rPr>
      </w:pPr>
      <w:r>
        <w:rPr>
          <w:szCs w:val="22"/>
        </w:rPr>
        <w:t>At</w:t>
      </w:r>
      <w:r>
        <w:rPr>
          <w:szCs w:val="22"/>
        </w:rPr>
        <w:t xml:space="preserve"> the commencement of this study, </w:t>
      </w:r>
      <w:smartTag w:uri="urn:schemas-microsoft-com:office:smarttags" w:element="City">
        <w:r>
          <w:rPr>
            <w:szCs w:val="22"/>
          </w:rPr>
          <w:t>WELS</w:t>
        </w:r>
      </w:smartTag>
      <w:r>
        <w:rPr>
          <w:szCs w:val="22"/>
        </w:rPr>
        <w:t xml:space="preserve"> had only been in operation for 18 months and therefore insufficient data was available to conduct a comprehensive ex-post program evaluation. The approach used in estimating and projecting water savings varied </w:t>
      </w:r>
      <w:r>
        <w:rPr>
          <w:szCs w:val="22"/>
        </w:rPr>
        <w:t>according to different data availability for each product type. Where possible, recent end-use survey data and sales data were used to conduct end-use and stock-modelling for each product.</w:t>
      </w:r>
    </w:p>
    <w:p w:rsidR="00000000" w:rsidRDefault="00D35856">
      <w:pPr>
        <w:keepNext w:val="0"/>
        <w:rPr>
          <w:szCs w:val="22"/>
        </w:rPr>
      </w:pPr>
      <w:r>
        <w:rPr>
          <w:szCs w:val="22"/>
        </w:rPr>
        <w:t xml:space="preserve">Over the period 2005-06 to 2020-21, </w:t>
      </w:r>
      <w:smartTag w:uri="urn:schemas-microsoft-com:office:smarttags" w:element="City">
        <w:r>
          <w:rPr>
            <w:szCs w:val="22"/>
          </w:rPr>
          <w:t>WELS</w:t>
        </w:r>
      </w:smartTag>
      <w:r>
        <w:rPr>
          <w:szCs w:val="22"/>
        </w:rPr>
        <w:t xml:space="preserve"> is estimated to reduce</w:t>
      </w:r>
      <w:r>
        <w:rPr>
          <w:szCs w:val="22"/>
        </w:rPr>
        <w:t xml:space="preserve"> Australia-wide water consumption by a total of 800 GL (compared to a baseline of no </w:t>
      </w:r>
      <w:smartTag w:uri="urn:schemas-microsoft-com:office:smarttags" w:element="City">
        <w:r>
          <w:rPr>
            <w:szCs w:val="22"/>
          </w:rPr>
          <w:t>WELS</w:t>
        </w:r>
      </w:smartTag>
      <w:r>
        <w:rPr>
          <w:szCs w:val="22"/>
        </w:rPr>
        <w:t>, but voluntary labelling). The most significant conservation potential is from showerheads (290 GL) and washing machines (280 GL), followed by toilets and uri</w:t>
      </w:r>
      <w:r>
        <w:rPr>
          <w:szCs w:val="22"/>
        </w:rPr>
        <w:t xml:space="preserve">nals (185 GL). As a proportion of the overall water savings, the direct contribution to water savings due to </w:t>
      </w:r>
      <w:smartTag w:uri="urn:schemas-microsoft-com:office:smarttags" w:element="City">
        <w:r>
          <w:rPr>
            <w:szCs w:val="22"/>
          </w:rPr>
          <w:t>WELS</w:t>
        </w:r>
      </w:smartTag>
      <w:r>
        <w:rPr>
          <w:szCs w:val="22"/>
        </w:rPr>
        <w:t xml:space="preserve"> on taps and dishwashers is expected to be much smaller, constituting approximately 6% of total savings. However, wide coverage of prod</w:t>
      </w:r>
      <w:r>
        <w:rPr>
          <w:szCs w:val="22"/>
        </w:rPr>
        <w:t xml:space="preserve">uct types could underpin the effectiveness of </w:t>
      </w:r>
      <w:smartTag w:uri="urn:schemas-microsoft-com:office:smarttags" w:element="City">
        <w:r>
          <w:rPr>
            <w:szCs w:val="22"/>
          </w:rPr>
          <w:t>WELS</w:t>
        </w:r>
      </w:smartTag>
      <w:r>
        <w:rPr>
          <w:szCs w:val="22"/>
        </w:rPr>
        <w:t xml:space="preserve"> information in driving consumer decisions about all product types.</w:t>
      </w:r>
    </w:p>
    <w:p w:rsidR="00000000" w:rsidRDefault="00D35856">
      <w:pPr>
        <w:keepNext w:val="0"/>
        <w:rPr>
          <w:szCs w:val="22"/>
        </w:rPr>
      </w:pPr>
      <w:r>
        <w:rPr>
          <w:szCs w:val="22"/>
        </w:rPr>
        <w:lastRenderedPageBreak/>
        <w:t xml:space="preserve">The relative contributions to water savings by different product types is partly due to different proportions of total water used </w:t>
      </w:r>
      <w:r>
        <w:rPr>
          <w:szCs w:val="22"/>
        </w:rPr>
        <w:t xml:space="preserve">by those products, but also reflects different expected rates of innovation, future potential for improvements in technical water efficiency, and the efficiency of products in the current stock. </w:t>
      </w:r>
    </w:p>
    <w:p w:rsidR="00000000" w:rsidRDefault="00D35856">
      <w:pPr>
        <w:pStyle w:val="Heading4"/>
        <w:keepNext w:val="0"/>
        <w:rPr>
          <w:color w:val="auto"/>
          <w:szCs w:val="22"/>
        </w:rPr>
      </w:pPr>
      <w:smartTag w:uri="urn:schemas-microsoft-com:office:smarttags" w:element="City">
        <w:r>
          <w:rPr>
            <w:color w:val="auto"/>
            <w:szCs w:val="22"/>
          </w:rPr>
          <w:t>WELS</w:t>
        </w:r>
      </w:smartTag>
      <w:r>
        <w:rPr>
          <w:color w:val="auto"/>
          <w:szCs w:val="22"/>
        </w:rPr>
        <w:t xml:space="preserve"> imposes costs to administrators and suppliers</w:t>
      </w:r>
    </w:p>
    <w:p w:rsidR="00000000" w:rsidRDefault="00D35856">
      <w:pPr>
        <w:keepNext w:val="0"/>
        <w:rPr>
          <w:szCs w:val="22"/>
        </w:rPr>
      </w:pPr>
      <w:r>
        <w:rPr>
          <w:szCs w:val="22"/>
        </w:rPr>
        <w:t>T</w:t>
      </w:r>
      <w:r>
        <w:rPr>
          <w:szCs w:val="22"/>
        </w:rPr>
        <w:t xml:space="preserve">he </w:t>
      </w:r>
      <w:smartTag w:uri="urn:schemas-microsoft-com:office:smarttags" w:element="City">
        <w:r>
          <w:rPr>
            <w:szCs w:val="22"/>
          </w:rPr>
          <w:t>WELS</w:t>
        </w:r>
      </w:smartTag>
      <w:r>
        <w:rPr>
          <w:szCs w:val="22"/>
        </w:rPr>
        <w:t xml:space="preserve"> administrators and suppliers of WELS-related products are likely to bear the largest share of direct </w:t>
      </w:r>
      <w:smartTag w:uri="urn:schemas-microsoft-com:office:smarttags" w:element="City">
        <w:r>
          <w:rPr>
            <w:szCs w:val="22"/>
          </w:rPr>
          <w:t>WELS</w:t>
        </w:r>
      </w:smartTag>
      <w:r>
        <w:rPr>
          <w:szCs w:val="22"/>
        </w:rPr>
        <w:t xml:space="preserve"> costs. Over the period 2005-06 to 2020-21, total administration costs to the Department of Environment, Water Heritage and the Art</w:t>
      </w:r>
      <w:r>
        <w:rPr>
          <w:szCs w:val="22"/>
        </w:rPr>
        <w:t>s are projected to be about $16 million (PV 2007 dollars, 7% discount rate), including costs of staffing and various activities including promotion, enforcement, and database management. Part of these will be offset by revenue from registration fees. Total</w:t>
      </w:r>
      <w:r>
        <w:rPr>
          <w:szCs w:val="22"/>
        </w:rPr>
        <w:t xml:space="preserve"> supplier costs are estimated at around $16 million (PV 2007 dollars, 7% discount rate) comprising mainly labelling costs (around $7 million) and registration fees ($5 million). </w:t>
      </w:r>
    </w:p>
    <w:p w:rsidR="00000000" w:rsidRDefault="00D35856">
      <w:pPr>
        <w:keepNext w:val="0"/>
        <w:rPr>
          <w:szCs w:val="22"/>
        </w:rPr>
      </w:pPr>
      <w:r>
        <w:rPr>
          <w:szCs w:val="22"/>
        </w:rPr>
        <w:t>These cost estimates are based on a number of assumptions about future activi</w:t>
      </w:r>
      <w:r>
        <w:rPr>
          <w:szCs w:val="22"/>
        </w:rPr>
        <w:t>ties, which are uncertain. Using upper estimates of future registration fees, supplier staff involvement in registration processes, testing and labelling costs, suppliers costs are estimated at around $36 million.</w:t>
      </w:r>
    </w:p>
    <w:p w:rsidR="00000000" w:rsidRDefault="00D35856">
      <w:pPr>
        <w:keepNext w:val="0"/>
        <w:rPr>
          <w:szCs w:val="22"/>
        </w:rPr>
      </w:pPr>
      <w:r>
        <w:rPr>
          <w:szCs w:val="22"/>
        </w:rPr>
        <w:t xml:space="preserve">Another key area of uncertainty is current and future price premiums due to </w:t>
      </w:r>
      <w:smartTag w:uri="urn:schemas-microsoft-com:office:smarttags" w:element="City">
        <w:r>
          <w:rPr>
            <w:szCs w:val="22"/>
          </w:rPr>
          <w:t>WELS</w:t>
        </w:r>
      </w:smartTag>
      <w:r>
        <w:rPr>
          <w:szCs w:val="22"/>
        </w:rPr>
        <w:t>. However, there is a range of evidence to suggest that price premiums are not likely to be as substantial or as long-lived as those originally estimated in the WELS Re</w:t>
      </w:r>
      <w:r>
        <w:rPr>
          <w:szCs w:val="22"/>
        </w:rPr>
        <w:t>gulatory Impact Statement. Most suppliers indicated that products at each star rating are available at a range of prices, that prices adjust quickly downward in response to increased demand, and that as supplier markets have expanded, price premiums are ge</w:t>
      </w:r>
      <w:r>
        <w:rPr>
          <w:szCs w:val="22"/>
        </w:rPr>
        <w:t xml:space="preserve">nerally lower. As more price information becomes available, further analysis will clarify the extent and duration of any price premiums due to </w:t>
      </w:r>
      <w:smartTag w:uri="urn:schemas-microsoft-com:office:smarttags" w:element="City">
        <w:r>
          <w:rPr>
            <w:szCs w:val="22"/>
          </w:rPr>
          <w:t>WELS</w:t>
        </w:r>
      </w:smartTag>
      <w:r>
        <w:rPr>
          <w:szCs w:val="22"/>
        </w:rPr>
        <w:t xml:space="preserve">. </w:t>
      </w:r>
    </w:p>
    <w:p w:rsidR="00000000" w:rsidRDefault="00D35856">
      <w:pPr>
        <w:pStyle w:val="Heading4"/>
        <w:keepNext w:val="0"/>
        <w:rPr>
          <w:color w:val="auto"/>
        </w:rPr>
      </w:pPr>
      <w:r>
        <w:rPr>
          <w:color w:val="auto"/>
        </w:rPr>
        <w:t xml:space="preserve">In addition to water savings, </w:t>
      </w:r>
      <w:smartTag w:uri="urn:schemas-microsoft-com:office:smarttags" w:element="City">
        <w:r>
          <w:rPr>
            <w:color w:val="auto"/>
          </w:rPr>
          <w:t>WELS</w:t>
        </w:r>
      </w:smartTag>
      <w:r>
        <w:rPr>
          <w:color w:val="auto"/>
        </w:rPr>
        <w:t xml:space="preserve"> has a number of other sustainability and financial bene</w:t>
      </w:r>
      <w:r>
        <w:rPr>
          <w:color w:val="auto"/>
        </w:rPr>
        <w:t>fits</w:t>
      </w:r>
    </w:p>
    <w:p w:rsidR="00000000" w:rsidRDefault="00D35856">
      <w:pPr>
        <w:keepNext w:val="0"/>
        <w:rPr>
          <w:szCs w:val="22"/>
        </w:rPr>
      </w:pPr>
      <w:r>
        <w:rPr>
          <w:szCs w:val="22"/>
        </w:rPr>
        <w:t xml:space="preserve">As a group, consumers who purchase water-efficient </w:t>
      </w:r>
      <w:smartTag w:uri="urn:schemas-microsoft-com:office:smarttags" w:element="City">
        <w:r>
          <w:rPr>
            <w:szCs w:val="22"/>
          </w:rPr>
          <w:t>WELS</w:t>
        </w:r>
      </w:smartTag>
      <w:r>
        <w:rPr>
          <w:szCs w:val="22"/>
        </w:rPr>
        <w:t xml:space="preserve"> products stand to significantly benefit from the financial value of water saved (PV $400 million at 7% discount rate, with no increase in real water prices). However, these water savings </w:t>
      </w:r>
      <w:r>
        <w:rPr>
          <w:szCs w:val="22"/>
        </w:rPr>
        <w:t xml:space="preserve">also lead to other significant sustainability benefits, in terms of the avoided energy used to heat water – and hence avoided greenhouse gas emissions. Over the period 2005-06 to 2020-21, </w:t>
      </w:r>
      <w:smartTag w:uri="urn:schemas-microsoft-com:office:smarttags" w:element="City">
        <w:r>
          <w:rPr>
            <w:szCs w:val="22"/>
          </w:rPr>
          <w:t>WELS</w:t>
        </w:r>
      </w:smartTag>
      <w:r>
        <w:rPr>
          <w:szCs w:val="22"/>
        </w:rPr>
        <w:t xml:space="preserve"> is projected to result in a total of over 9 million MWh</w:t>
      </w:r>
      <w:r>
        <w:rPr>
          <w:szCs w:val="22"/>
        </w:rPr>
        <w:t xml:space="preserve"> of energy savings and about 6 million tonnes of avoided greenhouse gas emissions, due to avoided water heating. </w:t>
      </w:r>
    </w:p>
    <w:p w:rsidR="00000000" w:rsidRDefault="00D35856">
      <w:pPr>
        <w:keepNext w:val="0"/>
        <w:rPr>
          <w:szCs w:val="22"/>
        </w:rPr>
      </w:pPr>
      <w:r>
        <w:rPr>
          <w:szCs w:val="22"/>
        </w:rPr>
        <w:t xml:space="preserve">Avoided water and wastewater pumping and treatment will also lead to avoided energy consumption (over 0.6 million MWH) and avoided greenhouse </w:t>
      </w:r>
      <w:r>
        <w:rPr>
          <w:szCs w:val="22"/>
        </w:rPr>
        <w:t>gas emissions (about 0.6 million tonnes).</w:t>
      </w:r>
    </w:p>
    <w:p w:rsidR="00000000" w:rsidRDefault="00D35856">
      <w:pPr>
        <w:pStyle w:val="Heading4"/>
        <w:keepNext w:val="0"/>
        <w:rPr>
          <w:color w:val="auto"/>
        </w:rPr>
      </w:pPr>
      <w:r>
        <w:rPr>
          <w:color w:val="auto"/>
        </w:rPr>
        <w:t>WELS cost-effectively contributes to water security, compared to most other urban water management options</w:t>
      </w:r>
    </w:p>
    <w:p w:rsidR="00000000" w:rsidRDefault="00D35856">
      <w:pPr>
        <w:keepNext w:val="0"/>
        <w:rPr>
          <w:szCs w:val="22"/>
        </w:rPr>
      </w:pPr>
      <w:r>
        <w:rPr>
          <w:szCs w:val="22"/>
        </w:rPr>
        <w:t xml:space="preserve">The levelised unit cost of </w:t>
      </w:r>
      <w:smartTag w:uri="urn:schemas-microsoft-com:office:smarttags" w:element="City">
        <w:r>
          <w:rPr>
            <w:szCs w:val="22"/>
          </w:rPr>
          <w:t>WELS</w:t>
        </w:r>
      </w:smartTag>
      <w:r>
        <w:rPr>
          <w:szCs w:val="22"/>
        </w:rPr>
        <w:t xml:space="preserve"> (taking into account net costs, but excluding transfer costs/benefits between stakeholders) is estimated at $0.08/kL (7% discount rate). At a lower discount rate of 1.6% and using the upper limiting estimates of supplier costs (10%), the levelised cost is</w:t>
      </w:r>
      <w:r>
        <w:rPr>
          <w:szCs w:val="22"/>
        </w:rPr>
        <w:t xml:space="preserve"> estimated at $0.21/kL.</w:t>
      </w:r>
    </w:p>
    <w:p w:rsidR="00000000" w:rsidRDefault="00D35856">
      <w:pPr>
        <w:keepNext w:val="0"/>
        <w:rPr>
          <w:szCs w:val="22"/>
        </w:rPr>
      </w:pPr>
      <w:smartTag w:uri="urn:schemas-microsoft-com:office:smarttags" w:element="City">
        <w:r>
          <w:rPr>
            <w:szCs w:val="22"/>
          </w:rPr>
          <w:lastRenderedPageBreak/>
          <w:t>WELS</w:t>
        </w:r>
      </w:smartTag>
      <w:r>
        <w:rPr>
          <w:szCs w:val="22"/>
        </w:rPr>
        <w:t xml:space="preserve"> therefore compares favourably to other water urban water management options which have been recently implemented, or are proposed for implementation, in various Australian states and territories. Supply options in parti</w:t>
      </w:r>
      <w:r>
        <w:rPr>
          <w:szCs w:val="22"/>
        </w:rPr>
        <w:t xml:space="preserve">cular appear to be less cost-effective than </w:t>
      </w:r>
      <w:smartTag w:uri="urn:schemas-microsoft-com:office:smarttags" w:element="City">
        <w:r>
          <w:rPr>
            <w:szCs w:val="22"/>
          </w:rPr>
          <w:t>WELS</w:t>
        </w:r>
      </w:smartTag>
      <w:r>
        <w:rPr>
          <w:szCs w:val="22"/>
        </w:rPr>
        <w:t>, ranging from $1.19 - $2.55/kL for desalination, to $3.58/KL for some surface supply options and $5.50/kL for more expensive recycling options.</w:t>
      </w:r>
    </w:p>
    <w:p w:rsidR="00000000" w:rsidRDefault="00D35856">
      <w:pPr>
        <w:pStyle w:val="Heading4"/>
        <w:keepNext w:val="0"/>
        <w:rPr>
          <w:color w:val="auto"/>
        </w:rPr>
      </w:pPr>
      <w:r>
        <w:rPr>
          <w:color w:val="auto"/>
        </w:rPr>
        <w:t xml:space="preserve">Opportunities exist to streamline </w:t>
      </w:r>
      <w:smartTag w:uri="urn:schemas-microsoft-com:office:smarttags" w:element="City">
        <w:r>
          <w:rPr>
            <w:color w:val="auto"/>
          </w:rPr>
          <w:t>WELS</w:t>
        </w:r>
      </w:smartTag>
      <w:r>
        <w:rPr>
          <w:color w:val="auto"/>
        </w:rPr>
        <w:t xml:space="preserve"> to lever</w:t>
      </w:r>
      <w:r>
        <w:rPr>
          <w:color w:val="auto"/>
        </w:rPr>
        <w:t>age further water savings.</w:t>
      </w:r>
    </w:p>
    <w:p w:rsidR="00000000" w:rsidRDefault="00D35856">
      <w:pPr>
        <w:keepNext w:val="0"/>
        <w:rPr>
          <w:szCs w:val="22"/>
        </w:rPr>
      </w:pPr>
      <w:r>
        <w:rPr>
          <w:szCs w:val="22"/>
        </w:rPr>
        <w:t xml:space="preserve">Notwithstanding the cost-effectiveness of </w:t>
      </w:r>
      <w:smartTag w:uri="urn:schemas-microsoft-com:office:smarttags" w:element="City">
        <w:r>
          <w:rPr>
            <w:szCs w:val="22"/>
          </w:rPr>
          <w:t>WELS</w:t>
        </w:r>
      </w:smartTag>
      <w:r>
        <w:rPr>
          <w:szCs w:val="22"/>
        </w:rPr>
        <w:t xml:space="preserve"> in contributing to water security, opportunities exist for </w:t>
      </w:r>
      <w:smartTag w:uri="urn:schemas-microsoft-com:office:smarttags" w:element="City">
        <w:r>
          <w:rPr>
            <w:szCs w:val="22"/>
          </w:rPr>
          <w:t>WELS</w:t>
        </w:r>
      </w:smartTag>
      <w:r>
        <w:rPr>
          <w:szCs w:val="22"/>
        </w:rPr>
        <w:t xml:space="preserve"> to extend how it drives innovation and achieves water efficiency, and potentially reduce the cost burden o</w:t>
      </w:r>
      <w:r>
        <w:rPr>
          <w:szCs w:val="22"/>
        </w:rPr>
        <w:t>n suppliers and administrators.</w:t>
      </w:r>
    </w:p>
    <w:p w:rsidR="00000000" w:rsidRDefault="00D35856">
      <w:pPr>
        <w:keepNext w:val="0"/>
        <w:rPr>
          <w:szCs w:val="22"/>
        </w:rPr>
      </w:pPr>
      <w:r>
        <w:rPr>
          <w:szCs w:val="22"/>
        </w:rPr>
        <w:t>Although it was beyond the scope of this study to examine these opportunities in detail, stakeholders contacted raised various issues, particularly relating to streamlining the registration process and requirements with othe</w:t>
      </w:r>
      <w:r>
        <w:rPr>
          <w:szCs w:val="22"/>
        </w:rPr>
        <w:t>r regulations (such as plumbing regulations and energy efficiency labelling scheme). Some technical aspects of the standards themselves could also be re-shaped to encourage innovation, some of which will depend on changing minimum flow requirements for pro</w:t>
      </w:r>
      <w:r>
        <w:rPr>
          <w:szCs w:val="22"/>
        </w:rPr>
        <w:t>ducts. The WELS Regulator’s plans to establish a clear enforcement and compliance process will also be significant in guaranteeing future water savings.</w:t>
      </w:r>
    </w:p>
    <w:p w:rsidR="00000000" w:rsidRDefault="00D35856">
      <w:pPr>
        <w:keepNext w:val="0"/>
        <w:rPr>
          <w:szCs w:val="22"/>
        </w:rPr>
      </w:pPr>
      <w:r>
        <w:rPr>
          <w:szCs w:val="22"/>
        </w:rPr>
        <w:t xml:space="preserve">These opportunities will be enabled by ongoing monitoring, evaluation and collection of data to inform </w:t>
      </w:r>
      <w:r>
        <w:rPr>
          <w:szCs w:val="22"/>
        </w:rPr>
        <w:t xml:space="preserve">savings, costs and benefits. </w:t>
      </w:r>
    </w:p>
    <w:p w:rsidR="00000000" w:rsidRDefault="00D35856">
      <w:pPr>
        <w:keepNext w:val="0"/>
      </w:pPr>
    </w:p>
    <w:p w:rsidR="00000000" w:rsidRDefault="00D35856">
      <w:pPr>
        <w:keepNext w:val="0"/>
      </w:pPr>
    </w:p>
    <w:p w:rsidR="00000000" w:rsidRDefault="00D35856">
      <w:pPr>
        <w:keepNext w:val="0"/>
      </w:pPr>
    </w:p>
    <w:p w:rsidR="00000000" w:rsidRDefault="00D35856">
      <w:pPr>
        <w:pStyle w:val="Headingother"/>
        <w:rPr>
          <w:color w:val="auto"/>
        </w:rPr>
      </w:pPr>
      <w:bookmarkStart w:id="3" w:name="_Toc45079422"/>
      <w:r>
        <w:rPr>
          <w:color w:val="auto"/>
        </w:rPr>
        <w:lastRenderedPageBreak/>
        <w:t>Table of Contents</w:t>
      </w:r>
      <w:bookmarkEnd w:id="3"/>
    </w:p>
    <w:p w:rsidR="00000000" w:rsidRDefault="00D35856">
      <w:pPr>
        <w:pStyle w:val="TOC1"/>
        <w:rPr>
          <w:rFonts w:ascii="Times New Roman" w:hAnsi="Times New Roman"/>
          <w:b w:val="0"/>
          <w:smallCaps w:val="0"/>
          <w:sz w:val="24"/>
          <w:lang w:val="en-US"/>
        </w:rPr>
      </w:pPr>
      <w:r>
        <w:fldChar w:fldCharType="begin"/>
      </w:r>
      <w:r>
        <w:instrText xml:space="preserve"> TOC \o "3-3" \t "Heading 1,1,Heading 2,2" </w:instrText>
      </w:r>
      <w:r>
        <w:fldChar w:fldCharType="separate"/>
      </w:r>
      <w:r>
        <w:t>1</w:t>
      </w:r>
      <w:r>
        <w:rPr>
          <w:rFonts w:ascii="Times New Roman" w:hAnsi="Times New Roman"/>
          <w:b w:val="0"/>
          <w:smallCaps w:val="0"/>
          <w:sz w:val="24"/>
          <w:lang w:val="en-US"/>
        </w:rPr>
        <w:tab/>
      </w:r>
      <w:r>
        <w:t>Introduction</w:t>
      </w:r>
      <w:r>
        <w:tab/>
      </w:r>
      <w:r>
        <w:fldChar w:fldCharType="begin"/>
      </w:r>
      <w:r>
        <w:instrText xml:space="preserve"> PAGEREF _Toc199933721 \h </w:instrText>
      </w:r>
      <w:r>
        <w:fldChar w:fldCharType="separate"/>
      </w:r>
      <w:r>
        <w:t>1</w:t>
      </w:r>
      <w:r>
        <w:fldChar w:fldCharType="end"/>
      </w:r>
    </w:p>
    <w:p w:rsidR="00000000" w:rsidRDefault="00D35856">
      <w:pPr>
        <w:pStyle w:val="TOC2"/>
        <w:rPr>
          <w:rFonts w:ascii="Times New Roman" w:hAnsi="Times New Roman"/>
          <w:sz w:val="24"/>
          <w:lang w:val="en-US"/>
        </w:rPr>
      </w:pPr>
      <w:r>
        <w:t>1.1</w:t>
      </w:r>
      <w:r>
        <w:rPr>
          <w:rFonts w:ascii="Times New Roman" w:hAnsi="Times New Roman"/>
          <w:sz w:val="24"/>
          <w:lang w:val="en-US"/>
        </w:rPr>
        <w:tab/>
      </w:r>
      <w:r>
        <w:t>WELS Scheme background</w:t>
      </w:r>
      <w:r>
        <w:tab/>
      </w:r>
      <w:r>
        <w:fldChar w:fldCharType="begin"/>
      </w:r>
      <w:r>
        <w:instrText xml:space="preserve"> PAGEREF _Toc199933722 \h </w:instrText>
      </w:r>
      <w:r>
        <w:fldChar w:fldCharType="separate"/>
      </w:r>
      <w:r>
        <w:t>1</w:t>
      </w:r>
      <w:r>
        <w:fldChar w:fldCharType="end"/>
      </w:r>
    </w:p>
    <w:p w:rsidR="00000000" w:rsidRDefault="00D35856">
      <w:pPr>
        <w:pStyle w:val="TOC2"/>
        <w:rPr>
          <w:rFonts w:ascii="Times New Roman" w:hAnsi="Times New Roman"/>
          <w:sz w:val="24"/>
          <w:lang w:val="en-US"/>
        </w:rPr>
      </w:pPr>
      <w:r>
        <w:t>1.2</w:t>
      </w:r>
      <w:r>
        <w:rPr>
          <w:rFonts w:ascii="Times New Roman" w:hAnsi="Times New Roman"/>
          <w:sz w:val="24"/>
          <w:lang w:val="en-US"/>
        </w:rPr>
        <w:tab/>
      </w:r>
      <w:r>
        <w:t>Policy and drought context</w:t>
      </w:r>
      <w:r>
        <w:tab/>
      </w:r>
      <w:r>
        <w:fldChar w:fldCharType="begin"/>
      </w:r>
      <w:r>
        <w:instrText xml:space="preserve"> PAGEREF _Toc199933723 \h </w:instrText>
      </w:r>
      <w:r>
        <w:fldChar w:fldCharType="separate"/>
      </w:r>
      <w:r>
        <w:t>3</w:t>
      </w:r>
      <w:r>
        <w:fldChar w:fldCharType="end"/>
      </w:r>
    </w:p>
    <w:p w:rsidR="00000000" w:rsidRDefault="00D35856">
      <w:pPr>
        <w:pStyle w:val="TOC2"/>
        <w:rPr>
          <w:rFonts w:ascii="Times New Roman" w:hAnsi="Times New Roman"/>
          <w:sz w:val="24"/>
          <w:lang w:val="en-US"/>
        </w:rPr>
      </w:pPr>
      <w:r>
        <w:t>1.3</w:t>
      </w:r>
      <w:r>
        <w:rPr>
          <w:rFonts w:ascii="Times New Roman" w:hAnsi="Times New Roman"/>
          <w:sz w:val="24"/>
          <w:lang w:val="en-US"/>
        </w:rPr>
        <w:tab/>
      </w:r>
      <w:r>
        <w:t>Report outline</w:t>
      </w:r>
      <w:r>
        <w:tab/>
      </w:r>
      <w:r>
        <w:fldChar w:fldCharType="begin"/>
      </w:r>
      <w:r>
        <w:instrText xml:space="preserve"> PAGEREF _Toc199</w:instrText>
      </w:r>
      <w:r>
        <w:instrText xml:space="preserve">933724 \h </w:instrText>
      </w:r>
      <w:r>
        <w:fldChar w:fldCharType="separate"/>
      </w:r>
      <w:r>
        <w:t>4</w:t>
      </w:r>
      <w:r>
        <w:fldChar w:fldCharType="end"/>
      </w:r>
    </w:p>
    <w:p w:rsidR="00000000" w:rsidRDefault="00D35856">
      <w:pPr>
        <w:pStyle w:val="TOC1"/>
        <w:rPr>
          <w:rFonts w:ascii="Times New Roman" w:hAnsi="Times New Roman"/>
          <w:b w:val="0"/>
          <w:smallCaps w:val="0"/>
          <w:sz w:val="24"/>
          <w:lang w:val="en-US"/>
        </w:rPr>
      </w:pPr>
      <w:r>
        <w:t>2</w:t>
      </w:r>
      <w:r>
        <w:rPr>
          <w:rFonts w:ascii="Times New Roman" w:hAnsi="Times New Roman"/>
          <w:b w:val="0"/>
          <w:smallCaps w:val="0"/>
          <w:sz w:val="24"/>
          <w:lang w:val="en-US"/>
        </w:rPr>
        <w:tab/>
      </w:r>
      <w:r>
        <w:t>Conceptual approach</w:t>
      </w:r>
      <w:r>
        <w:tab/>
      </w:r>
      <w:r>
        <w:fldChar w:fldCharType="begin"/>
      </w:r>
      <w:r>
        <w:instrText xml:space="preserve"> PAGEREF _Toc199933725 \h </w:instrText>
      </w:r>
      <w:r>
        <w:fldChar w:fldCharType="separate"/>
      </w:r>
      <w:r>
        <w:t>5</w:t>
      </w:r>
      <w:r>
        <w:fldChar w:fldCharType="end"/>
      </w:r>
    </w:p>
    <w:p w:rsidR="00000000" w:rsidRDefault="00D35856">
      <w:pPr>
        <w:pStyle w:val="TOC2"/>
        <w:rPr>
          <w:rFonts w:ascii="Times New Roman" w:hAnsi="Times New Roman"/>
          <w:sz w:val="24"/>
          <w:lang w:val="en-US"/>
        </w:rPr>
      </w:pPr>
      <w:r>
        <w:t>2.1</w:t>
      </w:r>
      <w:r>
        <w:rPr>
          <w:rFonts w:ascii="Times New Roman" w:hAnsi="Times New Roman"/>
          <w:sz w:val="24"/>
          <w:lang w:val="en-US"/>
        </w:rPr>
        <w:tab/>
      </w:r>
      <w:r>
        <w:t>Overview</w:t>
      </w:r>
      <w:r>
        <w:tab/>
      </w:r>
      <w:r>
        <w:fldChar w:fldCharType="begin"/>
      </w:r>
      <w:r>
        <w:instrText xml:space="preserve"> PAGEREF _Toc199933726 \h </w:instrText>
      </w:r>
      <w:r>
        <w:fldChar w:fldCharType="separate"/>
      </w:r>
      <w:r>
        <w:t>5</w:t>
      </w:r>
      <w:r>
        <w:fldChar w:fldCharType="end"/>
      </w:r>
    </w:p>
    <w:p w:rsidR="00000000" w:rsidRDefault="00D35856">
      <w:pPr>
        <w:pStyle w:val="TOC2"/>
        <w:rPr>
          <w:rFonts w:ascii="Times New Roman" w:hAnsi="Times New Roman"/>
          <w:sz w:val="24"/>
          <w:lang w:val="en-US"/>
        </w:rPr>
      </w:pPr>
      <w:r>
        <w:t>2.2</w:t>
      </w:r>
      <w:r>
        <w:rPr>
          <w:rFonts w:ascii="Times New Roman" w:hAnsi="Times New Roman"/>
          <w:sz w:val="24"/>
          <w:lang w:val="en-US"/>
        </w:rPr>
        <w:tab/>
      </w:r>
      <w:r>
        <w:t>Cost-effectiveness analysis: Levelised Cost Approach</w:t>
      </w:r>
      <w:r>
        <w:tab/>
      </w:r>
      <w:r>
        <w:fldChar w:fldCharType="begin"/>
      </w:r>
      <w:r>
        <w:instrText xml:space="preserve"> PAGEREF _Toc199933727 \h </w:instrText>
      </w:r>
      <w:r>
        <w:fldChar w:fldCharType="separate"/>
      </w:r>
      <w:r>
        <w:t>6</w:t>
      </w:r>
      <w:r>
        <w:fldChar w:fldCharType="end"/>
      </w:r>
    </w:p>
    <w:p w:rsidR="00000000" w:rsidRDefault="00D35856">
      <w:pPr>
        <w:pStyle w:val="TOC2"/>
        <w:rPr>
          <w:rFonts w:ascii="Times New Roman" w:hAnsi="Times New Roman"/>
          <w:sz w:val="24"/>
          <w:lang w:val="en-US"/>
        </w:rPr>
      </w:pPr>
      <w:r>
        <w:t>2.3</w:t>
      </w:r>
      <w:r>
        <w:rPr>
          <w:rFonts w:ascii="Times New Roman" w:hAnsi="Times New Roman"/>
          <w:sz w:val="24"/>
          <w:lang w:val="en-US"/>
        </w:rPr>
        <w:tab/>
      </w:r>
      <w:r>
        <w:t>The role of WELS in delivering water savings</w:t>
      </w:r>
      <w:r>
        <w:tab/>
      </w:r>
      <w:r>
        <w:fldChar w:fldCharType="begin"/>
      </w:r>
      <w:r>
        <w:instrText xml:space="preserve"> PAGEREF _Toc199933728 \h </w:instrText>
      </w:r>
      <w:r>
        <w:fldChar w:fldCharType="separate"/>
      </w:r>
      <w:r>
        <w:t>7</w:t>
      </w:r>
      <w:r>
        <w:fldChar w:fldCharType="end"/>
      </w:r>
    </w:p>
    <w:p w:rsidR="00000000" w:rsidRDefault="00D35856">
      <w:pPr>
        <w:pStyle w:val="TOC3"/>
        <w:rPr>
          <w:rFonts w:ascii="Times New Roman" w:hAnsi="Times New Roman"/>
          <w:noProof/>
          <w:sz w:val="24"/>
          <w:lang w:val="en-US"/>
        </w:rPr>
      </w:pPr>
      <w:r>
        <w:rPr>
          <w:noProof/>
        </w:rPr>
        <w:t>2.3.1</w:t>
      </w:r>
      <w:r>
        <w:rPr>
          <w:rFonts w:ascii="Times New Roman" w:hAnsi="Times New Roman"/>
          <w:noProof/>
          <w:sz w:val="24"/>
          <w:lang w:val="en-US"/>
        </w:rPr>
        <w:tab/>
      </w:r>
      <w:r>
        <w:rPr>
          <w:noProof/>
        </w:rPr>
        <w:t>Direct information provision</w:t>
      </w:r>
      <w:r>
        <w:rPr>
          <w:noProof/>
        </w:rPr>
        <w:tab/>
      </w:r>
      <w:r>
        <w:rPr>
          <w:noProof/>
        </w:rPr>
        <w:fldChar w:fldCharType="begin"/>
      </w:r>
      <w:r>
        <w:rPr>
          <w:noProof/>
        </w:rPr>
        <w:instrText xml:space="preserve"> PAGEREF _Toc199933729 \h </w:instrText>
      </w:r>
      <w:r w:rsidR="00D87CE9">
        <w:rPr>
          <w:noProof/>
        </w:rPr>
      </w:r>
      <w:r>
        <w:rPr>
          <w:noProof/>
        </w:rPr>
        <w:fldChar w:fldCharType="separate"/>
      </w:r>
      <w:r>
        <w:rPr>
          <w:noProof/>
        </w:rPr>
        <w:t>8</w:t>
      </w:r>
      <w:r>
        <w:rPr>
          <w:noProof/>
        </w:rPr>
        <w:fldChar w:fldCharType="end"/>
      </w:r>
    </w:p>
    <w:p w:rsidR="00000000" w:rsidRDefault="00D35856">
      <w:pPr>
        <w:pStyle w:val="TOC3"/>
        <w:rPr>
          <w:rFonts w:ascii="Times New Roman" w:hAnsi="Times New Roman"/>
          <w:noProof/>
          <w:sz w:val="24"/>
          <w:lang w:val="en-US"/>
        </w:rPr>
      </w:pPr>
      <w:r>
        <w:rPr>
          <w:noProof/>
        </w:rPr>
        <w:t>2.3.2</w:t>
      </w:r>
      <w:r>
        <w:rPr>
          <w:rFonts w:ascii="Times New Roman" w:hAnsi="Times New Roman"/>
          <w:noProof/>
          <w:sz w:val="24"/>
          <w:lang w:val="en-US"/>
        </w:rPr>
        <w:tab/>
      </w:r>
      <w:r>
        <w:rPr>
          <w:noProof/>
        </w:rPr>
        <w:t>Rebates</w:t>
      </w:r>
      <w:r>
        <w:rPr>
          <w:noProof/>
        </w:rPr>
        <w:tab/>
      </w:r>
      <w:r>
        <w:rPr>
          <w:noProof/>
        </w:rPr>
        <w:fldChar w:fldCharType="begin"/>
      </w:r>
      <w:r>
        <w:rPr>
          <w:noProof/>
        </w:rPr>
        <w:instrText xml:space="preserve"> PAGEREF _Toc1999</w:instrText>
      </w:r>
      <w:r>
        <w:rPr>
          <w:noProof/>
        </w:rPr>
        <w:instrText xml:space="preserve">33730 \h </w:instrText>
      </w:r>
      <w:r w:rsidR="00D87CE9">
        <w:rPr>
          <w:noProof/>
        </w:rPr>
      </w:r>
      <w:r>
        <w:rPr>
          <w:noProof/>
        </w:rPr>
        <w:fldChar w:fldCharType="separate"/>
      </w:r>
      <w:r>
        <w:rPr>
          <w:noProof/>
        </w:rPr>
        <w:t>9</w:t>
      </w:r>
      <w:r>
        <w:rPr>
          <w:noProof/>
        </w:rPr>
        <w:fldChar w:fldCharType="end"/>
      </w:r>
    </w:p>
    <w:p w:rsidR="00000000" w:rsidRDefault="00D35856">
      <w:pPr>
        <w:pStyle w:val="TOC3"/>
        <w:rPr>
          <w:rFonts w:ascii="Times New Roman" w:hAnsi="Times New Roman"/>
          <w:noProof/>
          <w:sz w:val="24"/>
          <w:lang w:val="en-US"/>
        </w:rPr>
      </w:pPr>
      <w:r>
        <w:rPr>
          <w:noProof/>
        </w:rPr>
        <w:t>2.3.3</w:t>
      </w:r>
      <w:r>
        <w:rPr>
          <w:rFonts w:ascii="Times New Roman" w:hAnsi="Times New Roman"/>
          <w:noProof/>
          <w:sz w:val="24"/>
          <w:lang w:val="en-US"/>
        </w:rPr>
        <w:tab/>
      </w:r>
      <w:r>
        <w:rPr>
          <w:noProof/>
        </w:rPr>
        <w:t>Regulations</w:t>
      </w:r>
      <w:r>
        <w:rPr>
          <w:noProof/>
        </w:rPr>
        <w:tab/>
      </w:r>
      <w:r>
        <w:rPr>
          <w:noProof/>
        </w:rPr>
        <w:fldChar w:fldCharType="begin"/>
      </w:r>
      <w:r>
        <w:rPr>
          <w:noProof/>
        </w:rPr>
        <w:instrText xml:space="preserve"> PAGEREF _Toc199933731 \h </w:instrText>
      </w:r>
      <w:r w:rsidR="00D87CE9">
        <w:rPr>
          <w:noProof/>
        </w:rPr>
      </w:r>
      <w:r>
        <w:rPr>
          <w:noProof/>
        </w:rPr>
        <w:fldChar w:fldCharType="separate"/>
      </w:r>
      <w:r>
        <w:rPr>
          <w:noProof/>
        </w:rPr>
        <w:t>10</w:t>
      </w:r>
      <w:r>
        <w:rPr>
          <w:noProof/>
        </w:rPr>
        <w:fldChar w:fldCharType="end"/>
      </w:r>
    </w:p>
    <w:p w:rsidR="00000000" w:rsidRDefault="00D35856">
      <w:pPr>
        <w:pStyle w:val="TOC2"/>
        <w:rPr>
          <w:rFonts w:ascii="Times New Roman" w:hAnsi="Times New Roman"/>
          <w:sz w:val="24"/>
          <w:lang w:val="en-US"/>
        </w:rPr>
      </w:pPr>
      <w:r>
        <w:t>2.4</w:t>
      </w:r>
      <w:r>
        <w:rPr>
          <w:rFonts w:ascii="Times New Roman" w:hAnsi="Times New Roman"/>
          <w:sz w:val="24"/>
          <w:lang w:val="en-US"/>
        </w:rPr>
        <w:tab/>
      </w:r>
      <w:r>
        <w:t>Analysis of costs and benefits due to WELS</w:t>
      </w:r>
      <w:r>
        <w:tab/>
      </w:r>
      <w:r>
        <w:fldChar w:fldCharType="begin"/>
      </w:r>
      <w:r>
        <w:instrText xml:space="preserve"> PAGEREF _Toc19</w:instrText>
      </w:r>
      <w:r>
        <w:instrText xml:space="preserve">9933732 \h </w:instrText>
      </w:r>
      <w:r>
        <w:fldChar w:fldCharType="separate"/>
      </w:r>
      <w:r>
        <w:t>10</w:t>
      </w:r>
      <w:r>
        <w:fldChar w:fldCharType="end"/>
      </w:r>
    </w:p>
    <w:p w:rsidR="00000000" w:rsidRDefault="00D35856">
      <w:pPr>
        <w:pStyle w:val="TOC3"/>
        <w:rPr>
          <w:rFonts w:ascii="Times New Roman" w:hAnsi="Times New Roman"/>
          <w:noProof/>
          <w:sz w:val="24"/>
          <w:lang w:val="en-US"/>
        </w:rPr>
      </w:pPr>
      <w:r>
        <w:rPr>
          <w:noProof/>
        </w:rPr>
        <w:t>2.4.1</w:t>
      </w:r>
      <w:r>
        <w:rPr>
          <w:rFonts w:ascii="Times New Roman" w:hAnsi="Times New Roman"/>
          <w:noProof/>
          <w:sz w:val="24"/>
          <w:lang w:val="en-US"/>
        </w:rPr>
        <w:tab/>
      </w:r>
      <w:r>
        <w:rPr>
          <w:noProof/>
        </w:rPr>
        <w:t>Boundaries of analysis and stakeholder perspectives</w:t>
      </w:r>
      <w:r>
        <w:rPr>
          <w:noProof/>
        </w:rPr>
        <w:tab/>
      </w:r>
      <w:r>
        <w:rPr>
          <w:noProof/>
        </w:rPr>
        <w:fldChar w:fldCharType="begin"/>
      </w:r>
      <w:r>
        <w:rPr>
          <w:noProof/>
        </w:rPr>
        <w:instrText xml:space="preserve"> PAGEREF _Toc199933733 \h </w:instrText>
      </w:r>
      <w:r w:rsidR="00D87CE9">
        <w:rPr>
          <w:noProof/>
        </w:rPr>
      </w:r>
      <w:r>
        <w:rPr>
          <w:noProof/>
        </w:rPr>
        <w:fldChar w:fldCharType="separate"/>
      </w:r>
      <w:r>
        <w:rPr>
          <w:noProof/>
        </w:rPr>
        <w:t>11</w:t>
      </w:r>
      <w:r>
        <w:rPr>
          <w:noProof/>
        </w:rPr>
        <w:fldChar w:fldCharType="end"/>
      </w:r>
    </w:p>
    <w:p w:rsidR="00000000" w:rsidRDefault="00D35856">
      <w:pPr>
        <w:pStyle w:val="TOC1"/>
        <w:rPr>
          <w:rFonts w:ascii="Times New Roman" w:hAnsi="Times New Roman"/>
          <w:b w:val="0"/>
          <w:smallCaps w:val="0"/>
          <w:sz w:val="24"/>
          <w:lang w:val="en-US"/>
        </w:rPr>
      </w:pPr>
      <w:r>
        <w:t>3</w:t>
      </w:r>
      <w:r>
        <w:rPr>
          <w:rFonts w:ascii="Times New Roman" w:hAnsi="Times New Roman"/>
          <w:b w:val="0"/>
          <w:smallCaps w:val="0"/>
          <w:sz w:val="24"/>
          <w:lang w:val="en-US"/>
        </w:rPr>
        <w:tab/>
      </w:r>
      <w:r>
        <w:t>Water savings due to WELS</w:t>
      </w:r>
      <w:r>
        <w:tab/>
      </w:r>
      <w:r>
        <w:fldChar w:fldCharType="begin"/>
      </w:r>
      <w:r>
        <w:instrText xml:space="preserve"> PAGEREF _Toc199933734 \h </w:instrText>
      </w:r>
      <w:r>
        <w:fldChar w:fldCharType="separate"/>
      </w:r>
      <w:r>
        <w:t>13</w:t>
      </w:r>
      <w:r>
        <w:fldChar w:fldCharType="end"/>
      </w:r>
    </w:p>
    <w:p w:rsidR="00000000" w:rsidRDefault="00D35856">
      <w:pPr>
        <w:pStyle w:val="TOC2"/>
        <w:rPr>
          <w:rFonts w:ascii="Times New Roman" w:hAnsi="Times New Roman"/>
          <w:sz w:val="24"/>
          <w:lang w:val="en-US"/>
        </w:rPr>
      </w:pPr>
      <w:r>
        <w:t>3.1</w:t>
      </w:r>
      <w:r>
        <w:rPr>
          <w:rFonts w:ascii="Times New Roman" w:hAnsi="Times New Roman"/>
          <w:sz w:val="24"/>
          <w:lang w:val="en-US"/>
        </w:rPr>
        <w:tab/>
      </w:r>
      <w:r>
        <w:t>Introduction to the analysis of water savings</w:t>
      </w:r>
      <w:r>
        <w:tab/>
      </w:r>
      <w:r>
        <w:fldChar w:fldCharType="begin"/>
      </w:r>
      <w:r>
        <w:instrText xml:space="preserve"> PAGEREF _Toc199933735 \h </w:instrText>
      </w:r>
      <w:r>
        <w:fldChar w:fldCharType="separate"/>
      </w:r>
      <w:r>
        <w:t>13</w:t>
      </w:r>
      <w:r>
        <w:fldChar w:fldCharType="end"/>
      </w:r>
    </w:p>
    <w:p w:rsidR="00000000" w:rsidRDefault="00D35856">
      <w:pPr>
        <w:pStyle w:val="TOC2"/>
        <w:rPr>
          <w:rFonts w:ascii="Times New Roman" w:hAnsi="Times New Roman"/>
          <w:sz w:val="24"/>
          <w:lang w:val="en-US"/>
        </w:rPr>
      </w:pPr>
      <w:r>
        <w:t>3.2</w:t>
      </w:r>
      <w:r>
        <w:rPr>
          <w:rFonts w:ascii="Times New Roman" w:hAnsi="Times New Roman"/>
          <w:sz w:val="24"/>
          <w:lang w:val="en-US"/>
        </w:rPr>
        <w:tab/>
      </w:r>
      <w:r>
        <w:t>Method and data sources</w:t>
      </w:r>
      <w:r>
        <w:tab/>
      </w:r>
      <w:r>
        <w:fldChar w:fldCharType="begin"/>
      </w:r>
      <w:r>
        <w:instrText xml:space="preserve"> PAGEREF _Toc199933736 \h </w:instrText>
      </w:r>
      <w:r>
        <w:fldChar w:fldCharType="separate"/>
      </w:r>
      <w:r>
        <w:t>15</w:t>
      </w:r>
      <w:r>
        <w:fldChar w:fldCharType="end"/>
      </w:r>
    </w:p>
    <w:p w:rsidR="00000000" w:rsidRDefault="00D35856">
      <w:pPr>
        <w:pStyle w:val="TOC2"/>
        <w:rPr>
          <w:rFonts w:ascii="Times New Roman" w:hAnsi="Times New Roman"/>
          <w:sz w:val="24"/>
          <w:lang w:val="en-US"/>
        </w:rPr>
      </w:pPr>
      <w:r>
        <w:t>3.3</w:t>
      </w:r>
      <w:r>
        <w:rPr>
          <w:rFonts w:ascii="Times New Roman" w:hAnsi="Times New Roman"/>
          <w:sz w:val="24"/>
          <w:lang w:val="en-US"/>
        </w:rPr>
        <w:tab/>
      </w:r>
      <w:r>
        <w:t>Analysis of WELS Water Savings</w:t>
      </w:r>
      <w:r>
        <w:tab/>
      </w:r>
      <w:r>
        <w:fldChar w:fldCharType="begin"/>
      </w:r>
      <w:r>
        <w:instrText xml:space="preserve"> PAGEREF _Toc199933737 \h </w:instrText>
      </w:r>
      <w:r>
        <w:fldChar w:fldCharType="separate"/>
      </w:r>
      <w:r>
        <w:t>16</w:t>
      </w:r>
      <w:r>
        <w:fldChar w:fldCharType="end"/>
      </w:r>
    </w:p>
    <w:p w:rsidR="00000000" w:rsidRDefault="00D35856">
      <w:pPr>
        <w:pStyle w:val="TOC3"/>
        <w:rPr>
          <w:rFonts w:ascii="Times New Roman" w:hAnsi="Times New Roman"/>
          <w:noProof/>
          <w:sz w:val="24"/>
          <w:lang w:val="en-US"/>
        </w:rPr>
      </w:pPr>
      <w:r>
        <w:rPr>
          <w:noProof/>
        </w:rPr>
        <w:t>3.3.1</w:t>
      </w:r>
      <w:r>
        <w:rPr>
          <w:rFonts w:ascii="Times New Roman" w:hAnsi="Times New Roman"/>
          <w:noProof/>
          <w:sz w:val="24"/>
          <w:lang w:val="en-US"/>
        </w:rPr>
        <w:tab/>
      </w:r>
      <w:r>
        <w:rPr>
          <w:noProof/>
        </w:rPr>
        <w:t>Washing machines</w:t>
      </w:r>
      <w:r>
        <w:rPr>
          <w:noProof/>
        </w:rPr>
        <w:tab/>
      </w:r>
      <w:r>
        <w:rPr>
          <w:noProof/>
        </w:rPr>
        <w:fldChar w:fldCharType="begin"/>
      </w:r>
      <w:r>
        <w:rPr>
          <w:noProof/>
        </w:rPr>
        <w:instrText xml:space="preserve"> PAGEREF _Toc199933738 \h </w:instrText>
      </w:r>
      <w:r w:rsidR="00D87CE9">
        <w:rPr>
          <w:noProof/>
        </w:rPr>
      </w:r>
      <w:r>
        <w:rPr>
          <w:noProof/>
        </w:rPr>
        <w:fldChar w:fldCharType="separate"/>
      </w:r>
      <w:r>
        <w:rPr>
          <w:noProof/>
        </w:rPr>
        <w:t>16</w:t>
      </w:r>
      <w:r>
        <w:rPr>
          <w:noProof/>
        </w:rPr>
        <w:fldChar w:fldCharType="end"/>
      </w:r>
    </w:p>
    <w:p w:rsidR="00000000" w:rsidRDefault="00D35856">
      <w:pPr>
        <w:pStyle w:val="TOC3"/>
        <w:rPr>
          <w:rFonts w:ascii="Times New Roman" w:hAnsi="Times New Roman"/>
          <w:noProof/>
          <w:sz w:val="24"/>
          <w:lang w:val="en-US"/>
        </w:rPr>
      </w:pPr>
      <w:r>
        <w:rPr>
          <w:noProof/>
        </w:rPr>
        <w:t>3.3.2</w:t>
      </w:r>
      <w:r>
        <w:rPr>
          <w:rFonts w:ascii="Times New Roman" w:hAnsi="Times New Roman"/>
          <w:noProof/>
          <w:sz w:val="24"/>
          <w:lang w:val="en-US"/>
        </w:rPr>
        <w:tab/>
      </w:r>
      <w:r>
        <w:rPr>
          <w:noProof/>
        </w:rPr>
        <w:t>Dishwashers</w:t>
      </w:r>
      <w:r>
        <w:rPr>
          <w:noProof/>
        </w:rPr>
        <w:tab/>
      </w:r>
      <w:r>
        <w:rPr>
          <w:noProof/>
        </w:rPr>
        <w:fldChar w:fldCharType="begin"/>
      </w:r>
      <w:r>
        <w:rPr>
          <w:noProof/>
        </w:rPr>
        <w:instrText xml:space="preserve"> PAGEREF _Toc199933739 \h </w:instrText>
      </w:r>
      <w:r w:rsidR="00D87CE9">
        <w:rPr>
          <w:noProof/>
        </w:rPr>
      </w:r>
      <w:r>
        <w:rPr>
          <w:noProof/>
        </w:rPr>
        <w:fldChar w:fldCharType="separate"/>
      </w:r>
      <w:r>
        <w:rPr>
          <w:noProof/>
        </w:rPr>
        <w:t>20</w:t>
      </w:r>
      <w:r>
        <w:rPr>
          <w:noProof/>
        </w:rPr>
        <w:fldChar w:fldCharType="end"/>
      </w:r>
    </w:p>
    <w:p w:rsidR="00000000" w:rsidRDefault="00D35856">
      <w:pPr>
        <w:pStyle w:val="TOC3"/>
        <w:rPr>
          <w:rFonts w:ascii="Times New Roman" w:hAnsi="Times New Roman"/>
          <w:noProof/>
          <w:sz w:val="24"/>
          <w:lang w:val="en-US"/>
        </w:rPr>
      </w:pPr>
      <w:r>
        <w:rPr>
          <w:noProof/>
        </w:rPr>
        <w:t>3.3.3</w:t>
      </w:r>
      <w:r>
        <w:rPr>
          <w:rFonts w:ascii="Times New Roman" w:hAnsi="Times New Roman"/>
          <w:noProof/>
          <w:sz w:val="24"/>
          <w:lang w:val="en-US"/>
        </w:rPr>
        <w:tab/>
      </w:r>
      <w:r>
        <w:rPr>
          <w:noProof/>
        </w:rPr>
        <w:t>Show</w:t>
      </w:r>
      <w:r>
        <w:rPr>
          <w:noProof/>
        </w:rPr>
        <w:t>erheads</w:t>
      </w:r>
      <w:r>
        <w:rPr>
          <w:noProof/>
        </w:rPr>
        <w:tab/>
      </w:r>
      <w:r>
        <w:rPr>
          <w:noProof/>
        </w:rPr>
        <w:fldChar w:fldCharType="begin"/>
      </w:r>
      <w:r>
        <w:rPr>
          <w:noProof/>
        </w:rPr>
        <w:instrText xml:space="preserve"> PAGEREF _Toc199933740 \h </w:instrText>
      </w:r>
      <w:r w:rsidR="00D87CE9">
        <w:rPr>
          <w:noProof/>
        </w:rPr>
      </w:r>
      <w:r>
        <w:rPr>
          <w:noProof/>
        </w:rPr>
        <w:fldChar w:fldCharType="separate"/>
      </w:r>
      <w:r>
        <w:rPr>
          <w:noProof/>
        </w:rPr>
        <w:t>23</w:t>
      </w:r>
      <w:r>
        <w:rPr>
          <w:noProof/>
        </w:rPr>
        <w:fldChar w:fldCharType="end"/>
      </w:r>
    </w:p>
    <w:p w:rsidR="00000000" w:rsidRDefault="00D35856">
      <w:pPr>
        <w:pStyle w:val="TOC3"/>
        <w:rPr>
          <w:rFonts w:ascii="Times New Roman" w:hAnsi="Times New Roman"/>
          <w:noProof/>
          <w:sz w:val="24"/>
          <w:lang w:val="en-US"/>
        </w:rPr>
      </w:pPr>
      <w:r>
        <w:rPr>
          <w:noProof/>
        </w:rPr>
        <w:t>3.3.4</w:t>
      </w:r>
      <w:r>
        <w:rPr>
          <w:rFonts w:ascii="Times New Roman" w:hAnsi="Times New Roman"/>
          <w:noProof/>
          <w:sz w:val="24"/>
          <w:lang w:val="en-US"/>
        </w:rPr>
        <w:tab/>
      </w:r>
      <w:r>
        <w:rPr>
          <w:noProof/>
        </w:rPr>
        <w:t>Toilets and Urinals</w:t>
      </w:r>
      <w:r>
        <w:rPr>
          <w:noProof/>
        </w:rPr>
        <w:tab/>
      </w:r>
      <w:r>
        <w:rPr>
          <w:noProof/>
        </w:rPr>
        <w:fldChar w:fldCharType="begin"/>
      </w:r>
      <w:r>
        <w:rPr>
          <w:noProof/>
        </w:rPr>
        <w:instrText xml:space="preserve"> PAGEREF _Toc199933741 \h </w:instrText>
      </w:r>
      <w:r w:rsidR="00D87CE9">
        <w:rPr>
          <w:noProof/>
        </w:rPr>
      </w:r>
      <w:r>
        <w:rPr>
          <w:noProof/>
        </w:rPr>
        <w:fldChar w:fldCharType="separate"/>
      </w:r>
      <w:r>
        <w:rPr>
          <w:noProof/>
        </w:rPr>
        <w:t>25</w:t>
      </w:r>
      <w:r>
        <w:rPr>
          <w:noProof/>
        </w:rPr>
        <w:fldChar w:fldCharType="end"/>
      </w:r>
    </w:p>
    <w:p w:rsidR="00000000" w:rsidRDefault="00D35856">
      <w:pPr>
        <w:pStyle w:val="TOC3"/>
        <w:rPr>
          <w:rFonts w:ascii="Times New Roman" w:hAnsi="Times New Roman"/>
          <w:noProof/>
          <w:sz w:val="24"/>
          <w:lang w:val="en-US"/>
        </w:rPr>
      </w:pPr>
      <w:r>
        <w:rPr>
          <w:noProof/>
        </w:rPr>
        <w:t>3.3.5</w:t>
      </w:r>
      <w:r>
        <w:rPr>
          <w:rFonts w:ascii="Times New Roman" w:hAnsi="Times New Roman"/>
          <w:noProof/>
          <w:sz w:val="24"/>
          <w:lang w:val="en-US"/>
        </w:rPr>
        <w:tab/>
      </w:r>
      <w:r>
        <w:rPr>
          <w:noProof/>
        </w:rPr>
        <w:t>Taps</w:t>
      </w:r>
      <w:r>
        <w:rPr>
          <w:noProof/>
        </w:rPr>
        <w:tab/>
      </w:r>
      <w:r>
        <w:rPr>
          <w:noProof/>
        </w:rPr>
        <w:fldChar w:fldCharType="begin"/>
      </w:r>
      <w:r>
        <w:rPr>
          <w:noProof/>
        </w:rPr>
        <w:instrText xml:space="preserve"> PAGEREF _Toc199933742 \h </w:instrText>
      </w:r>
      <w:r w:rsidR="00D87CE9">
        <w:rPr>
          <w:noProof/>
        </w:rPr>
      </w:r>
      <w:r>
        <w:rPr>
          <w:noProof/>
        </w:rPr>
        <w:fldChar w:fldCharType="separate"/>
      </w:r>
      <w:r>
        <w:rPr>
          <w:noProof/>
        </w:rPr>
        <w:t>29</w:t>
      </w:r>
      <w:r>
        <w:rPr>
          <w:noProof/>
        </w:rPr>
        <w:fldChar w:fldCharType="end"/>
      </w:r>
    </w:p>
    <w:p w:rsidR="00000000" w:rsidRDefault="00D35856">
      <w:pPr>
        <w:pStyle w:val="TOC2"/>
        <w:rPr>
          <w:rFonts w:ascii="Times New Roman" w:hAnsi="Times New Roman"/>
          <w:sz w:val="24"/>
          <w:lang w:val="en-US"/>
        </w:rPr>
      </w:pPr>
      <w:r>
        <w:t>3.4</w:t>
      </w:r>
      <w:r>
        <w:rPr>
          <w:rFonts w:ascii="Times New Roman" w:hAnsi="Times New Roman"/>
          <w:sz w:val="24"/>
          <w:lang w:val="en-US"/>
        </w:rPr>
        <w:tab/>
      </w:r>
      <w:r>
        <w:t>Summary of water savings</w:t>
      </w:r>
      <w:r>
        <w:tab/>
      </w:r>
      <w:r>
        <w:fldChar w:fldCharType="begin"/>
      </w:r>
      <w:r>
        <w:instrText xml:space="preserve"> PAGEREF _Toc199933743 \h </w:instrText>
      </w:r>
      <w:r>
        <w:fldChar w:fldCharType="separate"/>
      </w:r>
      <w:r>
        <w:t>31</w:t>
      </w:r>
      <w:r>
        <w:fldChar w:fldCharType="end"/>
      </w:r>
    </w:p>
    <w:p w:rsidR="00000000" w:rsidRDefault="00D35856">
      <w:pPr>
        <w:pStyle w:val="TOC1"/>
        <w:rPr>
          <w:rFonts w:ascii="Times New Roman" w:hAnsi="Times New Roman"/>
          <w:b w:val="0"/>
          <w:smallCaps w:val="0"/>
          <w:sz w:val="24"/>
          <w:lang w:val="en-US"/>
        </w:rPr>
      </w:pPr>
      <w:r>
        <w:t>4</w:t>
      </w:r>
      <w:r>
        <w:rPr>
          <w:rFonts w:ascii="Times New Roman" w:hAnsi="Times New Roman"/>
          <w:b w:val="0"/>
          <w:smallCaps w:val="0"/>
          <w:sz w:val="24"/>
          <w:lang w:val="en-US"/>
        </w:rPr>
        <w:tab/>
      </w:r>
      <w:r>
        <w:t>Cost and benefits due to WELS</w:t>
      </w:r>
      <w:r>
        <w:tab/>
      </w:r>
      <w:r>
        <w:fldChar w:fldCharType="begin"/>
      </w:r>
      <w:r>
        <w:instrText xml:space="preserve"> PAGEREF _Toc199933744 \h </w:instrText>
      </w:r>
      <w:r>
        <w:fldChar w:fldCharType="separate"/>
      </w:r>
      <w:r>
        <w:t>32</w:t>
      </w:r>
      <w:r>
        <w:fldChar w:fldCharType="end"/>
      </w:r>
    </w:p>
    <w:p w:rsidR="00000000" w:rsidRDefault="00D35856">
      <w:pPr>
        <w:pStyle w:val="TOC2"/>
        <w:rPr>
          <w:rFonts w:ascii="Times New Roman" w:hAnsi="Times New Roman"/>
          <w:sz w:val="24"/>
          <w:lang w:val="en-US"/>
        </w:rPr>
      </w:pPr>
      <w:r>
        <w:t>4.1</w:t>
      </w:r>
      <w:r>
        <w:rPr>
          <w:rFonts w:ascii="Times New Roman" w:hAnsi="Times New Roman"/>
          <w:sz w:val="24"/>
          <w:lang w:val="en-US"/>
        </w:rPr>
        <w:tab/>
      </w:r>
      <w:r>
        <w:t>Overview of methods and data sources</w:t>
      </w:r>
      <w:r>
        <w:tab/>
      </w:r>
      <w:r>
        <w:fldChar w:fldCharType="begin"/>
      </w:r>
      <w:r>
        <w:instrText xml:space="preserve"> PAGEREF _Toc199933745 \h </w:instrText>
      </w:r>
      <w:r>
        <w:fldChar w:fldCharType="separate"/>
      </w:r>
      <w:r>
        <w:t>32</w:t>
      </w:r>
      <w:r>
        <w:fldChar w:fldCharType="end"/>
      </w:r>
    </w:p>
    <w:p w:rsidR="00000000" w:rsidRDefault="00D35856">
      <w:pPr>
        <w:pStyle w:val="TOC3"/>
        <w:rPr>
          <w:rFonts w:ascii="Times New Roman" w:hAnsi="Times New Roman"/>
          <w:noProof/>
          <w:sz w:val="24"/>
          <w:lang w:val="en-US"/>
        </w:rPr>
      </w:pPr>
      <w:r>
        <w:rPr>
          <w:noProof/>
        </w:rPr>
        <w:t>4.1.1</w:t>
      </w:r>
      <w:r>
        <w:rPr>
          <w:rFonts w:ascii="Times New Roman" w:hAnsi="Times New Roman"/>
          <w:noProof/>
          <w:sz w:val="24"/>
          <w:lang w:val="en-US"/>
        </w:rPr>
        <w:tab/>
      </w:r>
      <w:r>
        <w:rPr>
          <w:noProof/>
        </w:rPr>
        <w:t>Discount rates</w:t>
      </w:r>
      <w:r>
        <w:rPr>
          <w:noProof/>
        </w:rPr>
        <w:tab/>
      </w:r>
      <w:r>
        <w:rPr>
          <w:noProof/>
        </w:rPr>
        <w:fldChar w:fldCharType="begin"/>
      </w:r>
      <w:r>
        <w:rPr>
          <w:noProof/>
        </w:rPr>
        <w:instrText xml:space="preserve"> PAGEREF _Toc199933746 \h </w:instrText>
      </w:r>
      <w:r w:rsidR="00D87CE9">
        <w:rPr>
          <w:noProof/>
        </w:rPr>
      </w:r>
      <w:r>
        <w:rPr>
          <w:noProof/>
        </w:rPr>
        <w:fldChar w:fldCharType="separate"/>
      </w:r>
      <w:r>
        <w:rPr>
          <w:noProof/>
        </w:rPr>
        <w:t>34</w:t>
      </w:r>
      <w:r>
        <w:rPr>
          <w:noProof/>
        </w:rPr>
        <w:fldChar w:fldCharType="end"/>
      </w:r>
    </w:p>
    <w:p w:rsidR="00000000" w:rsidRDefault="00D35856">
      <w:pPr>
        <w:pStyle w:val="TOC2"/>
        <w:rPr>
          <w:rFonts w:ascii="Times New Roman" w:hAnsi="Times New Roman"/>
          <w:sz w:val="24"/>
          <w:lang w:val="en-US"/>
        </w:rPr>
      </w:pPr>
      <w:r>
        <w:t>4.2</w:t>
      </w:r>
      <w:r>
        <w:rPr>
          <w:rFonts w:ascii="Times New Roman" w:hAnsi="Times New Roman"/>
          <w:sz w:val="24"/>
          <w:lang w:val="en-US"/>
        </w:rPr>
        <w:tab/>
      </w:r>
      <w:r>
        <w:t>WELS Administration costs</w:t>
      </w:r>
      <w:r>
        <w:tab/>
      </w:r>
      <w:r>
        <w:fldChar w:fldCharType="begin"/>
      </w:r>
      <w:r>
        <w:instrText xml:space="preserve"> PAGEREF _Toc199933747 \h </w:instrText>
      </w:r>
      <w:r>
        <w:fldChar w:fldCharType="separate"/>
      </w:r>
      <w:r>
        <w:t>34</w:t>
      </w:r>
      <w:r>
        <w:fldChar w:fldCharType="end"/>
      </w:r>
    </w:p>
    <w:p w:rsidR="00000000" w:rsidRDefault="00D35856">
      <w:pPr>
        <w:pStyle w:val="TOC2"/>
        <w:rPr>
          <w:rFonts w:ascii="Times New Roman" w:hAnsi="Times New Roman"/>
          <w:sz w:val="24"/>
          <w:lang w:val="en-US"/>
        </w:rPr>
      </w:pPr>
      <w:r>
        <w:t>4.3</w:t>
      </w:r>
      <w:r>
        <w:rPr>
          <w:rFonts w:ascii="Times New Roman" w:hAnsi="Times New Roman"/>
          <w:sz w:val="24"/>
          <w:lang w:val="en-US"/>
        </w:rPr>
        <w:tab/>
      </w:r>
      <w:r>
        <w:t>Registration costs</w:t>
      </w:r>
      <w:r>
        <w:tab/>
      </w:r>
      <w:r>
        <w:fldChar w:fldCharType="begin"/>
      </w:r>
      <w:r>
        <w:instrText xml:space="preserve"> PAGEREF _Toc199933748 \h </w:instrText>
      </w:r>
      <w:r>
        <w:fldChar w:fldCharType="separate"/>
      </w:r>
      <w:r>
        <w:t>36</w:t>
      </w:r>
      <w:r>
        <w:fldChar w:fldCharType="end"/>
      </w:r>
    </w:p>
    <w:p w:rsidR="00000000" w:rsidRDefault="00D35856">
      <w:pPr>
        <w:pStyle w:val="TOC3"/>
        <w:rPr>
          <w:rFonts w:ascii="Times New Roman" w:hAnsi="Times New Roman"/>
          <w:noProof/>
          <w:sz w:val="24"/>
          <w:lang w:val="en-US"/>
        </w:rPr>
      </w:pPr>
      <w:r>
        <w:rPr>
          <w:noProof/>
        </w:rPr>
        <w:t>4.3.1</w:t>
      </w:r>
      <w:r>
        <w:rPr>
          <w:rFonts w:ascii="Times New Roman" w:hAnsi="Times New Roman"/>
          <w:noProof/>
          <w:sz w:val="24"/>
          <w:lang w:val="en-US"/>
        </w:rPr>
        <w:tab/>
      </w:r>
      <w:r>
        <w:rPr>
          <w:noProof/>
        </w:rPr>
        <w:t>Registration numbers</w:t>
      </w:r>
      <w:r>
        <w:rPr>
          <w:noProof/>
        </w:rPr>
        <w:tab/>
      </w:r>
      <w:r>
        <w:rPr>
          <w:noProof/>
        </w:rPr>
        <w:fldChar w:fldCharType="begin"/>
      </w:r>
      <w:r>
        <w:rPr>
          <w:noProof/>
        </w:rPr>
        <w:instrText xml:space="preserve"> PAGEREF _Toc199933749 \h </w:instrText>
      </w:r>
      <w:r w:rsidR="00D87CE9">
        <w:rPr>
          <w:noProof/>
        </w:rPr>
      </w:r>
      <w:r>
        <w:rPr>
          <w:noProof/>
        </w:rPr>
        <w:fldChar w:fldCharType="separate"/>
      </w:r>
      <w:r>
        <w:rPr>
          <w:noProof/>
        </w:rPr>
        <w:t>37</w:t>
      </w:r>
      <w:r>
        <w:rPr>
          <w:noProof/>
        </w:rPr>
        <w:fldChar w:fldCharType="end"/>
      </w:r>
    </w:p>
    <w:p w:rsidR="00000000" w:rsidRDefault="00D35856">
      <w:pPr>
        <w:pStyle w:val="TOC3"/>
        <w:rPr>
          <w:rFonts w:ascii="Times New Roman" w:hAnsi="Times New Roman"/>
          <w:noProof/>
          <w:sz w:val="24"/>
          <w:lang w:val="en-US"/>
        </w:rPr>
      </w:pPr>
      <w:r>
        <w:rPr>
          <w:noProof/>
        </w:rPr>
        <w:t>4.3.2</w:t>
      </w:r>
      <w:r>
        <w:rPr>
          <w:rFonts w:ascii="Times New Roman" w:hAnsi="Times New Roman"/>
          <w:noProof/>
          <w:sz w:val="24"/>
          <w:lang w:val="en-US"/>
        </w:rPr>
        <w:tab/>
      </w:r>
      <w:r>
        <w:rPr>
          <w:noProof/>
        </w:rPr>
        <w:t>Testing costs</w:t>
      </w:r>
      <w:r>
        <w:rPr>
          <w:noProof/>
        </w:rPr>
        <w:tab/>
      </w:r>
      <w:r>
        <w:rPr>
          <w:noProof/>
        </w:rPr>
        <w:fldChar w:fldCharType="begin"/>
      </w:r>
      <w:r>
        <w:rPr>
          <w:noProof/>
        </w:rPr>
        <w:instrText xml:space="preserve"> PAGEREF _Toc199933750 \h </w:instrText>
      </w:r>
      <w:r w:rsidR="00D87CE9">
        <w:rPr>
          <w:noProof/>
        </w:rPr>
      </w:r>
      <w:r>
        <w:rPr>
          <w:noProof/>
        </w:rPr>
        <w:fldChar w:fldCharType="separate"/>
      </w:r>
      <w:r>
        <w:rPr>
          <w:noProof/>
        </w:rPr>
        <w:t>39</w:t>
      </w:r>
      <w:r>
        <w:rPr>
          <w:noProof/>
        </w:rPr>
        <w:fldChar w:fldCharType="end"/>
      </w:r>
    </w:p>
    <w:p w:rsidR="00000000" w:rsidRDefault="00D35856">
      <w:pPr>
        <w:pStyle w:val="TOC3"/>
        <w:rPr>
          <w:rFonts w:ascii="Times New Roman" w:hAnsi="Times New Roman"/>
          <w:noProof/>
          <w:sz w:val="24"/>
          <w:lang w:val="en-US"/>
        </w:rPr>
      </w:pPr>
      <w:r>
        <w:rPr>
          <w:noProof/>
        </w:rPr>
        <w:t>4.3.3</w:t>
      </w:r>
      <w:r>
        <w:rPr>
          <w:rFonts w:ascii="Times New Roman" w:hAnsi="Times New Roman"/>
          <w:noProof/>
          <w:sz w:val="24"/>
          <w:lang w:val="en-US"/>
        </w:rPr>
        <w:tab/>
      </w:r>
      <w:r>
        <w:rPr>
          <w:noProof/>
        </w:rPr>
        <w:t>Registration fees payable</w:t>
      </w:r>
      <w:r>
        <w:rPr>
          <w:noProof/>
        </w:rPr>
        <w:tab/>
      </w:r>
      <w:r>
        <w:rPr>
          <w:noProof/>
        </w:rPr>
        <w:fldChar w:fldCharType="begin"/>
      </w:r>
      <w:r>
        <w:rPr>
          <w:noProof/>
        </w:rPr>
        <w:instrText xml:space="preserve"> PAGEREF _Toc199933751 \h </w:instrText>
      </w:r>
      <w:r w:rsidR="00D87CE9">
        <w:rPr>
          <w:noProof/>
        </w:rPr>
      </w:r>
      <w:r>
        <w:rPr>
          <w:noProof/>
        </w:rPr>
        <w:fldChar w:fldCharType="separate"/>
      </w:r>
      <w:r>
        <w:rPr>
          <w:noProof/>
        </w:rPr>
        <w:t>40</w:t>
      </w:r>
      <w:r>
        <w:rPr>
          <w:noProof/>
        </w:rPr>
        <w:fldChar w:fldCharType="end"/>
      </w:r>
    </w:p>
    <w:p w:rsidR="00000000" w:rsidRDefault="00D35856">
      <w:pPr>
        <w:pStyle w:val="TOC3"/>
        <w:rPr>
          <w:rFonts w:ascii="Times New Roman" w:hAnsi="Times New Roman"/>
          <w:noProof/>
          <w:sz w:val="24"/>
          <w:lang w:val="en-US"/>
        </w:rPr>
      </w:pPr>
      <w:r>
        <w:rPr>
          <w:noProof/>
        </w:rPr>
        <w:t>4.3.4</w:t>
      </w:r>
      <w:r>
        <w:rPr>
          <w:rFonts w:ascii="Times New Roman" w:hAnsi="Times New Roman"/>
          <w:noProof/>
          <w:sz w:val="24"/>
          <w:lang w:val="en-US"/>
        </w:rPr>
        <w:tab/>
      </w:r>
      <w:r>
        <w:rPr>
          <w:noProof/>
        </w:rPr>
        <w:t>Registration process costs</w:t>
      </w:r>
      <w:r>
        <w:rPr>
          <w:noProof/>
        </w:rPr>
        <w:tab/>
      </w:r>
      <w:r>
        <w:rPr>
          <w:noProof/>
        </w:rPr>
        <w:fldChar w:fldCharType="begin"/>
      </w:r>
      <w:r>
        <w:rPr>
          <w:noProof/>
        </w:rPr>
        <w:instrText xml:space="preserve"> PAGEREF _Toc199933752 \h </w:instrText>
      </w:r>
      <w:r w:rsidR="00D87CE9">
        <w:rPr>
          <w:noProof/>
        </w:rPr>
      </w:r>
      <w:r>
        <w:rPr>
          <w:noProof/>
        </w:rPr>
        <w:fldChar w:fldCharType="separate"/>
      </w:r>
      <w:r>
        <w:rPr>
          <w:noProof/>
        </w:rPr>
        <w:t>41</w:t>
      </w:r>
      <w:r>
        <w:rPr>
          <w:noProof/>
        </w:rPr>
        <w:fldChar w:fldCharType="end"/>
      </w:r>
    </w:p>
    <w:p w:rsidR="00000000" w:rsidRDefault="00D35856">
      <w:pPr>
        <w:pStyle w:val="TOC3"/>
        <w:rPr>
          <w:rFonts w:ascii="Times New Roman" w:hAnsi="Times New Roman"/>
          <w:noProof/>
          <w:sz w:val="24"/>
          <w:lang w:val="en-US"/>
        </w:rPr>
      </w:pPr>
      <w:r>
        <w:rPr>
          <w:noProof/>
        </w:rPr>
        <w:t>4.3.5</w:t>
      </w:r>
      <w:r>
        <w:rPr>
          <w:rFonts w:ascii="Times New Roman" w:hAnsi="Times New Roman"/>
          <w:noProof/>
          <w:sz w:val="24"/>
          <w:lang w:val="en-US"/>
        </w:rPr>
        <w:tab/>
      </w:r>
      <w:r>
        <w:rPr>
          <w:noProof/>
        </w:rPr>
        <w:t>Other potential registration issues and costs</w:t>
      </w:r>
      <w:r>
        <w:rPr>
          <w:noProof/>
        </w:rPr>
        <w:tab/>
      </w:r>
      <w:r>
        <w:rPr>
          <w:noProof/>
        </w:rPr>
        <w:fldChar w:fldCharType="begin"/>
      </w:r>
      <w:r>
        <w:rPr>
          <w:noProof/>
        </w:rPr>
        <w:instrText xml:space="preserve"> PAGEREF _Toc199933753 \h </w:instrText>
      </w:r>
      <w:r w:rsidR="00D87CE9">
        <w:rPr>
          <w:noProof/>
        </w:rPr>
      </w:r>
      <w:r>
        <w:rPr>
          <w:noProof/>
        </w:rPr>
        <w:fldChar w:fldCharType="separate"/>
      </w:r>
      <w:r>
        <w:rPr>
          <w:noProof/>
        </w:rPr>
        <w:t>43</w:t>
      </w:r>
      <w:r>
        <w:rPr>
          <w:noProof/>
        </w:rPr>
        <w:fldChar w:fldCharType="end"/>
      </w:r>
    </w:p>
    <w:p w:rsidR="00000000" w:rsidRDefault="00D35856">
      <w:pPr>
        <w:pStyle w:val="TOC2"/>
        <w:rPr>
          <w:rFonts w:ascii="Times New Roman" w:hAnsi="Times New Roman"/>
          <w:sz w:val="24"/>
          <w:lang w:val="en-US"/>
        </w:rPr>
      </w:pPr>
      <w:r>
        <w:t>4.4</w:t>
      </w:r>
      <w:r>
        <w:rPr>
          <w:rFonts w:ascii="Times New Roman" w:hAnsi="Times New Roman"/>
          <w:sz w:val="24"/>
          <w:lang w:val="en-US"/>
        </w:rPr>
        <w:tab/>
      </w:r>
      <w:r>
        <w:t>Labelling costs</w:t>
      </w:r>
      <w:r>
        <w:tab/>
      </w:r>
      <w:r>
        <w:fldChar w:fldCharType="begin"/>
      </w:r>
      <w:r>
        <w:instrText xml:space="preserve"> PAGEREF _Toc199933754 \h </w:instrText>
      </w:r>
      <w:r>
        <w:fldChar w:fldCharType="separate"/>
      </w:r>
      <w:r>
        <w:t>44</w:t>
      </w:r>
      <w:r>
        <w:fldChar w:fldCharType="end"/>
      </w:r>
    </w:p>
    <w:p w:rsidR="00000000" w:rsidRDefault="00D35856">
      <w:pPr>
        <w:pStyle w:val="TOC2"/>
        <w:rPr>
          <w:rFonts w:ascii="Times New Roman" w:hAnsi="Times New Roman"/>
          <w:sz w:val="24"/>
          <w:lang w:val="en-US"/>
        </w:rPr>
      </w:pPr>
      <w:r>
        <w:lastRenderedPageBreak/>
        <w:t>4.5</w:t>
      </w:r>
      <w:r>
        <w:rPr>
          <w:rFonts w:ascii="Times New Roman" w:hAnsi="Times New Roman"/>
          <w:sz w:val="24"/>
          <w:lang w:val="en-US"/>
        </w:rPr>
        <w:tab/>
      </w:r>
      <w:r>
        <w:t>Retailers’ costs</w:t>
      </w:r>
      <w:r>
        <w:tab/>
      </w:r>
      <w:r>
        <w:fldChar w:fldCharType="begin"/>
      </w:r>
      <w:r>
        <w:instrText xml:space="preserve"> PAGEREF _Toc199933755 \h </w:instrText>
      </w:r>
      <w:r>
        <w:fldChar w:fldCharType="separate"/>
      </w:r>
      <w:r>
        <w:t>45</w:t>
      </w:r>
      <w:r>
        <w:fldChar w:fldCharType="end"/>
      </w:r>
    </w:p>
    <w:p w:rsidR="00000000" w:rsidRDefault="00D35856">
      <w:pPr>
        <w:pStyle w:val="TOC2"/>
        <w:rPr>
          <w:rFonts w:ascii="Times New Roman" w:hAnsi="Times New Roman"/>
          <w:sz w:val="24"/>
          <w:lang w:val="en-US"/>
        </w:rPr>
      </w:pPr>
      <w:r>
        <w:t>4.6</w:t>
      </w:r>
      <w:r>
        <w:rPr>
          <w:rFonts w:ascii="Times New Roman" w:hAnsi="Times New Roman"/>
          <w:sz w:val="24"/>
          <w:lang w:val="en-US"/>
        </w:rPr>
        <w:tab/>
      </w:r>
      <w:r>
        <w:t>Additional purchase costs</w:t>
      </w:r>
      <w:r>
        <w:tab/>
      </w:r>
      <w:r>
        <w:fldChar w:fldCharType="begin"/>
      </w:r>
      <w:r>
        <w:instrText xml:space="preserve"> PAGEREF _Toc199933756 \h </w:instrText>
      </w:r>
      <w:r>
        <w:fldChar w:fldCharType="separate"/>
      </w:r>
      <w:r>
        <w:t>45</w:t>
      </w:r>
      <w:r>
        <w:fldChar w:fldCharType="end"/>
      </w:r>
    </w:p>
    <w:p w:rsidR="00000000" w:rsidRDefault="00D35856">
      <w:pPr>
        <w:pStyle w:val="TOC3"/>
        <w:rPr>
          <w:rFonts w:ascii="Times New Roman" w:hAnsi="Times New Roman"/>
          <w:noProof/>
          <w:sz w:val="24"/>
          <w:lang w:val="en-US"/>
        </w:rPr>
      </w:pPr>
      <w:r>
        <w:rPr>
          <w:noProof/>
        </w:rPr>
        <w:t>4.6.1</w:t>
      </w:r>
      <w:r>
        <w:rPr>
          <w:rFonts w:ascii="Times New Roman" w:hAnsi="Times New Roman"/>
          <w:noProof/>
          <w:sz w:val="24"/>
          <w:lang w:val="en-US"/>
        </w:rPr>
        <w:tab/>
      </w:r>
      <w:r>
        <w:rPr>
          <w:noProof/>
        </w:rPr>
        <w:t>Sales numbers</w:t>
      </w:r>
      <w:r>
        <w:rPr>
          <w:noProof/>
        </w:rPr>
        <w:tab/>
      </w:r>
      <w:r>
        <w:rPr>
          <w:noProof/>
        </w:rPr>
        <w:fldChar w:fldCharType="begin"/>
      </w:r>
      <w:r>
        <w:rPr>
          <w:noProof/>
        </w:rPr>
        <w:instrText xml:space="preserve"> PAGEREF _Toc199933757 \h </w:instrText>
      </w:r>
      <w:r w:rsidR="00D87CE9">
        <w:rPr>
          <w:noProof/>
        </w:rPr>
      </w:r>
      <w:r>
        <w:rPr>
          <w:noProof/>
        </w:rPr>
        <w:fldChar w:fldCharType="separate"/>
      </w:r>
      <w:r>
        <w:rPr>
          <w:noProof/>
        </w:rPr>
        <w:t>45</w:t>
      </w:r>
      <w:r>
        <w:rPr>
          <w:noProof/>
        </w:rPr>
        <w:fldChar w:fldCharType="end"/>
      </w:r>
    </w:p>
    <w:p w:rsidR="00000000" w:rsidRDefault="00D35856">
      <w:pPr>
        <w:pStyle w:val="TOC3"/>
        <w:rPr>
          <w:rFonts w:ascii="Times New Roman" w:hAnsi="Times New Roman"/>
          <w:noProof/>
          <w:sz w:val="24"/>
          <w:lang w:val="en-US"/>
        </w:rPr>
      </w:pPr>
      <w:r>
        <w:rPr>
          <w:noProof/>
        </w:rPr>
        <w:t>4.6.2</w:t>
      </w:r>
      <w:r>
        <w:rPr>
          <w:rFonts w:ascii="Times New Roman" w:hAnsi="Times New Roman"/>
          <w:noProof/>
          <w:sz w:val="24"/>
          <w:lang w:val="en-US"/>
        </w:rPr>
        <w:tab/>
      </w:r>
      <w:r>
        <w:rPr>
          <w:noProof/>
        </w:rPr>
        <w:t>Retail price premiums</w:t>
      </w:r>
      <w:r>
        <w:rPr>
          <w:noProof/>
        </w:rPr>
        <w:tab/>
      </w:r>
      <w:r>
        <w:rPr>
          <w:noProof/>
        </w:rPr>
        <w:fldChar w:fldCharType="begin"/>
      </w:r>
      <w:r>
        <w:rPr>
          <w:noProof/>
        </w:rPr>
        <w:instrText xml:space="preserve"> PAGEREF _Toc199933758 \h </w:instrText>
      </w:r>
      <w:r w:rsidR="00D87CE9">
        <w:rPr>
          <w:noProof/>
        </w:rPr>
      </w:r>
      <w:r>
        <w:rPr>
          <w:noProof/>
        </w:rPr>
        <w:fldChar w:fldCharType="separate"/>
      </w:r>
      <w:r>
        <w:rPr>
          <w:noProof/>
        </w:rPr>
        <w:t>45</w:t>
      </w:r>
      <w:r>
        <w:rPr>
          <w:noProof/>
        </w:rPr>
        <w:fldChar w:fldCharType="end"/>
      </w:r>
    </w:p>
    <w:p w:rsidR="00000000" w:rsidRDefault="00D35856">
      <w:pPr>
        <w:pStyle w:val="TOC2"/>
        <w:rPr>
          <w:rFonts w:ascii="Times New Roman" w:hAnsi="Times New Roman"/>
          <w:sz w:val="24"/>
          <w:lang w:val="en-US"/>
        </w:rPr>
      </w:pPr>
      <w:r>
        <w:t>4.7</w:t>
      </w:r>
      <w:r>
        <w:rPr>
          <w:rFonts w:ascii="Times New Roman" w:hAnsi="Times New Roman"/>
          <w:sz w:val="24"/>
          <w:lang w:val="en-US"/>
        </w:rPr>
        <w:tab/>
      </w:r>
      <w:r>
        <w:t>Avoided water costs - Consumers</w:t>
      </w:r>
      <w:r>
        <w:tab/>
      </w:r>
      <w:r>
        <w:fldChar w:fldCharType="begin"/>
      </w:r>
      <w:r>
        <w:instrText xml:space="preserve"> PAGEREF _Toc199933759 \h </w:instrText>
      </w:r>
      <w:r>
        <w:fldChar w:fldCharType="separate"/>
      </w:r>
      <w:r>
        <w:t>52</w:t>
      </w:r>
      <w:r>
        <w:fldChar w:fldCharType="end"/>
      </w:r>
    </w:p>
    <w:p w:rsidR="00000000" w:rsidRDefault="00D35856">
      <w:pPr>
        <w:pStyle w:val="TOC2"/>
        <w:rPr>
          <w:rFonts w:ascii="Times New Roman" w:hAnsi="Times New Roman"/>
          <w:sz w:val="24"/>
          <w:lang w:val="en-US"/>
        </w:rPr>
      </w:pPr>
      <w:r>
        <w:t>4.8</w:t>
      </w:r>
      <w:r>
        <w:rPr>
          <w:rFonts w:ascii="Times New Roman" w:hAnsi="Times New Roman"/>
          <w:sz w:val="24"/>
          <w:lang w:val="en-US"/>
        </w:rPr>
        <w:tab/>
      </w:r>
      <w:r>
        <w:t>Avoided Energy costs</w:t>
      </w:r>
      <w:r>
        <w:tab/>
      </w:r>
      <w:r>
        <w:fldChar w:fldCharType="begin"/>
      </w:r>
      <w:r>
        <w:instrText xml:space="preserve"> PAGEREF _Toc199933760 \h </w:instrText>
      </w:r>
      <w:r>
        <w:fldChar w:fldCharType="separate"/>
      </w:r>
      <w:r>
        <w:t>53</w:t>
      </w:r>
      <w:r>
        <w:fldChar w:fldCharType="end"/>
      </w:r>
    </w:p>
    <w:p w:rsidR="00000000" w:rsidRDefault="00D35856">
      <w:pPr>
        <w:pStyle w:val="TOC3"/>
        <w:rPr>
          <w:rFonts w:ascii="Times New Roman" w:hAnsi="Times New Roman"/>
          <w:noProof/>
          <w:sz w:val="24"/>
          <w:lang w:val="en-US"/>
        </w:rPr>
      </w:pPr>
      <w:r>
        <w:rPr>
          <w:noProof/>
        </w:rPr>
        <w:t>4.8.1</w:t>
      </w:r>
      <w:r>
        <w:rPr>
          <w:rFonts w:ascii="Times New Roman" w:hAnsi="Times New Roman"/>
          <w:noProof/>
          <w:sz w:val="24"/>
          <w:lang w:val="en-US"/>
        </w:rPr>
        <w:tab/>
      </w:r>
      <w:r>
        <w:rPr>
          <w:noProof/>
        </w:rPr>
        <w:t>Energy Savings</w:t>
      </w:r>
      <w:r>
        <w:rPr>
          <w:noProof/>
        </w:rPr>
        <w:tab/>
      </w:r>
      <w:r>
        <w:rPr>
          <w:noProof/>
        </w:rPr>
        <w:fldChar w:fldCharType="begin"/>
      </w:r>
      <w:r>
        <w:rPr>
          <w:noProof/>
        </w:rPr>
        <w:instrText xml:space="preserve"> PAGEREF _Toc199933761 \h </w:instrText>
      </w:r>
      <w:r w:rsidR="00D87CE9">
        <w:rPr>
          <w:noProof/>
        </w:rPr>
      </w:r>
      <w:r>
        <w:rPr>
          <w:noProof/>
        </w:rPr>
        <w:fldChar w:fldCharType="separate"/>
      </w:r>
      <w:r>
        <w:rPr>
          <w:noProof/>
        </w:rPr>
        <w:t>53</w:t>
      </w:r>
      <w:r>
        <w:rPr>
          <w:noProof/>
        </w:rPr>
        <w:fldChar w:fldCharType="end"/>
      </w:r>
    </w:p>
    <w:p w:rsidR="00000000" w:rsidRDefault="00D35856">
      <w:pPr>
        <w:pStyle w:val="TOC3"/>
        <w:rPr>
          <w:rFonts w:ascii="Times New Roman" w:hAnsi="Times New Roman"/>
          <w:noProof/>
          <w:sz w:val="24"/>
          <w:lang w:val="en-US"/>
        </w:rPr>
      </w:pPr>
      <w:r>
        <w:rPr>
          <w:noProof/>
        </w:rPr>
        <w:t>4.8.2</w:t>
      </w:r>
      <w:r>
        <w:rPr>
          <w:rFonts w:ascii="Times New Roman" w:hAnsi="Times New Roman"/>
          <w:noProof/>
          <w:sz w:val="24"/>
          <w:lang w:val="en-US"/>
        </w:rPr>
        <w:tab/>
      </w:r>
      <w:r>
        <w:rPr>
          <w:noProof/>
        </w:rPr>
        <w:t>Avoided energy costs – consumers’ water heating</w:t>
      </w:r>
      <w:r>
        <w:rPr>
          <w:noProof/>
        </w:rPr>
        <w:tab/>
      </w:r>
      <w:r>
        <w:rPr>
          <w:noProof/>
        </w:rPr>
        <w:fldChar w:fldCharType="begin"/>
      </w:r>
      <w:r>
        <w:rPr>
          <w:noProof/>
        </w:rPr>
        <w:instrText xml:space="preserve"> PAGEREF _Toc199933762 \h </w:instrText>
      </w:r>
      <w:r w:rsidR="00D87CE9">
        <w:rPr>
          <w:noProof/>
        </w:rPr>
      </w:r>
      <w:r>
        <w:rPr>
          <w:noProof/>
        </w:rPr>
        <w:fldChar w:fldCharType="separate"/>
      </w:r>
      <w:r>
        <w:rPr>
          <w:noProof/>
        </w:rPr>
        <w:t>55</w:t>
      </w:r>
      <w:r>
        <w:rPr>
          <w:noProof/>
        </w:rPr>
        <w:fldChar w:fldCharType="end"/>
      </w:r>
    </w:p>
    <w:p w:rsidR="00000000" w:rsidRDefault="00D35856">
      <w:pPr>
        <w:pStyle w:val="TOC3"/>
        <w:rPr>
          <w:rFonts w:ascii="Times New Roman" w:hAnsi="Times New Roman"/>
          <w:noProof/>
          <w:sz w:val="24"/>
          <w:lang w:val="en-US"/>
        </w:rPr>
      </w:pPr>
      <w:r>
        <w:rPr>
          <w:noProof/>
        </w:rPr>
        <w:t>4.8.3</w:t>
      </w:r>
      <w:r>
        <w:rPr>
          <w:rFonts w:ascii="Times New Roman" w:hAnsi="Times New Roman"/>
          <w:noProof/>
          <w:sz w:val="24"/>
          <w:lang w:val="en-US"/>
        </w:rPr>
        <w:tab/>
      </w:r>
      <w:r>
        <w:rPr>
          <w:noProof/>
        </w:rPr>
        <w:t>Avoided operating costs (energy) for water supply and sewage treatment</w:t>
      </w:r>
      <w:r>
        <w:rPr>
          <w:noProof/>
        </w:rPr>
        <w:tab/>
      </w:r>
      <w:r>
        <w:rPr>
          <w:noProof/>
        </w:rPr>
        <w:fldChar w:fldCharType="begin"/>
      </w:r>
      <w:r>
        <w:rPr>
          <w:noProof/>
        </w:rPr>
        <w:instrText xml:space="preserve"> PAGEREF _Toc199933763 \h </w:instrText>
      </w:r>
      <w:r w:rsidR="00D87CE9">
        <w:rPr>
          <w:noProof/>
        </w:rPr>
      </w:r>
      <w:r>
        <w:rPr>
          <w:noProof/>
        </w:rPr>
        <w:fldChar w:fldCharType="separate"/>
      </w:r>
      <w:r>
        <w:rPr>
          <w:noProof/>
        </w:rPr>
        <w:t>56</w:t>
      </w:r>
      <w:r>
        <w:rPr>
          <w:noProof/>
        </w:rPr>
        <w:fldChar w:fldCharType="end"/>
      </w:r>
    </w:p>
    <w:p w:rsidR="00000000" w:rsidRDefault="00D35856">
      <w:pPr>
        <w:pStyle w:val="TOC2"/>
        <w:rPr>
          <w:rFonts w:ascii="Times New Roman" w:hAnsi="Times New Roman"/>
          <w:sz w:val="24"/>
          <w:lang w:val="en-US"/>
        </w:rPr>
      </w:pPr>
      <w:r>
        <w:t>4.9</w:t>
      </w:r>
      <w:r>
        <w:rPr>
          <w:rFonts w:ascii="Times New Roman" w:hAnsi="Times New Roman"/>
          <w:sz w:val="24"/>
          <w:lang w:val="en-US"/>
        </w:rPr>
        <w:tab/>
      </w:r>
      <w:r>
        <w:t>Avoided greenhouse gas emissions</w:t>
      </w:r>
      <w:r>
        <w:tab/>
      </w:r>
      <w:r>
        <w:fldChar w:fldCharType="begin"/>
      </w:r>
      <w:r>
        <w:instrText xml:space="preserve"> PAGEREF _Toc199933764 \h </w:instrText>
      </w:r>
      <w:r>
        <w:fldChar w:fldCharType="separate"/>
      </w:r>
      <w:r>
        <w:t>57</w:t>
      </w:r>
      <w:r>
        <w:fldChar w:fldCharType="end"/>
      </w:r>
    </w:p>
    <w:p w:rsidR="00000000" w:rsidRDefault="00D35856">
      <w:pPr>
        <w:pStyle w:val="TOC2"/>
        <w:rPr>
          <w:rFonts w:ascii="Times New Roman" w:hAnsi="Times New Roman"/>
          <w:sz w:val="24"/>
          <w:lang w:val="en-US"/>
        </w:rPr>
      </w:pPr>
      <w:r>
        <w:t>4.10</w:t>
      </w:r>
      <w:r>
        <w:rPr>
          <w:rFonts w:ascii="Times New Roman" w:hAnsi="Times New Roman"/>
          <w:sz w:val="24"/>
          <w:lang w:val="en-US"/>
        </w:rPr>
        <w:tab/>
      </w:r>
      <w:r>
        <w:t>Summary of costs and benefits</w:t>
      </w:r>
      <w:r>
        <w:tab/>
      </w:r>
      <w:r>
        <w:fldChar w:fldCharType="begin"/>
      </w:r>
      <w:r>
        <w:instrText xml:space="preserve"> PAGEREF _Toc199933765 \h </w:instrText>
      </w:r>
      <w:r>
        <w:fldChar w:fldCharType="separate"/>
      </w:r>
      <w:r>
        <w:t>59</w:t>
      </w:r>
      <w:r>
        <w:fldChar w:fldCharType="end"/>
      </w:r>
    </w:p>
    <w:p w:rsidR="00000000" w:rsidRDefault="00D35856">
      <w:pPr>
        <w:pStyle w:val="TOC3"/>
        <w:rPr>
          <w:rFonts w:ascii="Times New Roman" w:hAnsi="Times New Roman"/>
          <w:noProof/>
          <w:sz w:val="24"/>
          <w:lang w:val="en-US"/>
        </w:rPr>
      </w:pPr>
      <w:r>
        <w:rPr>
          <w:noProof/>
        </w:rPr>
        <w:t>4.10.1</w:t>
      </w:r>
      <w:r>
        <w:rPr>
          <w:rFonts w:ascii="Times New Roman" w:hAnsi="Times New Roman"/>
          <w:noProof/>
          <w:sz w:val="24"/>
          <w:lang w:val="en-US"/>
        </w:rPr>
        <w:tab/>
      </w:r>
      <w:r>
        <w:rPr>
          <w:noProof/>
        </w:rPr>
        <w:t>Distribution of costs and benefits by stakeholder group</w:t>
      </w:r>
      <w:r>
        <w:rPr>
          <w:noProof/>
        </w:rPr>
        <w:tab/>
      </w:r>
      <w:r>
        <w:rPr>
          <w:noProof/>
        </w:rPr>
        <w:fldChar w:fldCharType="begin"/>
      </w:r>
      <w:r>
        <w:rPr>
          <w:noProof/>
        </w:rPr>
        <w:instrText xml:space="preserve"> PAGEREF _Toc199933766 \h </w:instrText>
      </w:r>
      <w:r w:rsidR="00D87CE9">
        <w:rPr>
          <w:noProof/>
        </w:rPr>
      </w:r>
      <w:r>
        <w:rPr>
          <w:noProof/>
        </w:rPr>
        <w:fldChar w:fldCharType="separate"/>
      </w:r>
      <w:r>
        <w:rPr>
          <w:noProof/>
        </w:rPr>
        <w:t>59</w:t>
      </w:r>
      <w:r>
        <w:rPr>
          <w:noProof/>
        </w:rPr>
        <w:fldChar w:fldCharType="end"/>
      </w:r>
    </w:p>
    <w:p w:rsidR="00000000" w:rsidRDefault="00D35856">
      <w:pPr>
        <w:pStyle w:val="TOC3"/>
        <w:rPr>
          <w:rFonts w:ascii="Times New Roman" w:hAnsi="Times New Roman"/>
          <w:noProof/>
          <w:sz w:val="24"/>
          <w:lang w:val="en-US"/>
        </w:rPr>
      </w:pPr>
      <w:r>
        <w:rPr>
          <w:noProof/>
        </w:rPr>
        <w:t>4.10.2</w:t>
      </w:r>
      <w:r>
        <w:rPr>
          <w:rFonts w:ascii="Times New Roman" w:hAnsi="Times New Roman"/>
          <w:noProof/>
          <w:sz w:val="24"/>
          <w:lang w:val="en-US"/>
        </w:rPr>
        <w:tab/>
      </w:r>
      <w:r>
        <w:rPr>
          <w:noProof/>
        </w:rPr>
        <w:t>Parameter uncertain</w:t>
      </w:r>
      <w:r>
        <w:rPr>
          <w:noProof/>
        </w:rPr>
        <w:t>ty – upper limiting costs</w:t>
      </w:r>
      <w:r>
        <w:rPr>
          <w:noProof/>
        </w:rPr>
        <w:tab/>
      </w:r>
      <w:r>
        <w:rPr>
          <w:noProof/>
        </w:rPr>
        <w:fldChar w:fldCharType="begin"/>
      </w:r>
      <w:r>
        <w:rPr>
          <w:noProof/>
        </w:rPr>
        <w:instrText xml:space="preserve"> PAGEREF _Toc199933767 \h </w:instrText>
      </w:r>
      <w:r w:rsidR="00D87CE9">
        <w:rPr>
          <w:noProof/>
        </w:rPr>
      </w:r>
      <w:r>
        <w:rPr>
          <w:noProof/>
        </w:rPr>
        <w:fldChar w:fldCharType="separate"/>
      </w:r>
      <w:r>
        <w:rPr>
          <w:noProof/>
        </w:rPr>
        <w:t>60</w:t>
      </w:r>
      <w:r>
        <w:rPr>
          <w:noProof/>
        </w:rPr>
        <w:fldChar w:fldCharType="end"/>
      </w:r>
    </w:p>
    <w:p w:rsidR="00000000" w:rsidRDefault="00D35856">
      <w:pPr>
        <w:pStyle w:val="TOC3"/>
        <w:rPr>
          <w:rFonts w:ascii="Times New Roman" w:hAnsi="Times New Roman"/>
          <w:noProof/>
          <w:sz w:val="24"/>
          <w:lang w:val="en-US"/>
        </w:rPr>
      </w:pPr>
      <w:r>
        <w:rPr>
          <w:noProof/>
        </w:rPr>
        <w:t>4.10.3</w:t>
      </w:r>
      <w:r>
        <w:rPr>
          <w:rFonts w:ascii="Times New Roman" w:hAnsi="Times New Roman"/>
          <w:noProof/>
          <w:sz w:val="24"/>
          <w:lang w:val="en-US"/>
        </w:rPr>
        <w:tab/>
      </w:r>
      <w:r>
        <w:rPr>
          <w:noProof/>
        </w:rPr>
        <w:t>Whole of society net costs</w:t>
      </w:r>
      <w:r>
        <w:rPr>
          <w:noProof/>
        </w:rPr>
        <w:tab/>
      </w:r>
      <w:r>
        <w:rPr>
          <w:noProof/>
        </w:rPr>
        <w:fldChar w:fldCharType="begin"/>
      </w:r>
      <w:r>
        <w:rPr>
          <w:noProof/>
        </w:rPr>
        <w:instrText xml:space="preserve"> PAGEREF _Toc199933768 \h </w:instrText>
      </w:r>
      <w:r w:rsidR="00D87CE9">
        <w:rPr>
          <w:noProof/>
        </w:rPr>
      </w:r>
      <w:r>
        <w:rPr>
          <w:noProof/>
        </w:rPr>
        <w:fldChar w:fldCharType="separate"/>
      </w:r>
      <w:r>
        <w:rPr>
          <w:noProof/>
        </w:rPr>
        <w:t>61</w:t>
      </w:r>
      <w:r>
        <w:rPr>
          <w:noProof/>
        </w:rPr>
        <w:fldChar w:fldCharType="end"/>
      </w:r>
    </w:p>
    <w:p w:rsidR="00000000" w:rsidRDefault="00D35856">
      <w:pPr>
        <w:pStyle w:val="TOC1"/>
        <w:rPr>
          <w:rFonts w:ascii="Times New Roman" w:hAnsi="Times New Roman"/>
          <w:b w:val="0"/>
          <w:smallCaps w:val="0"/>
          <w:sz w:val="24"/>
          <w:lang w:val="en-US"/>
        </w:rPr>
      </w:pPr>
      <w:r>
        <w:t>5</w:t>
      </w:r>
      <w:r>
        <w:rPr>
          <w:rFonts w:ascii="Times New Roman" w:hAnsi="Times New Roman"/>
          <w:b w:val="0"/>
          <w:smallCaps w:val="0"/>
          <w:sz w:val="24"/>
          <w:lang w:val="en-US"/>
        </w:rPr>
        <w:tab/>
      </w:r>
      <w:r>
        <w:t>Co</w:t>
      </w:r>
      <w:r>
        <w:t>mparative cost-effectiveness analysis</w:t>
      </w:r>
      <w:r>
        <w:tab/>
      </w:r>
      <w:r>
        <w:fldChar w:fldCharType="begin"/>
      </w:r>
      <w:r>
        <w:instrText xml:space="preserve"> PAGEREF _Toc199933769 \h </w:instrText>
      </w:r>
      <w:r>
        <w:fldChar w:fldCharType="separate"/>
      </w:r>
      <w:r>
        <w:t>62</w:t>
      </w:r>
      <w:r>
        <w:fldChar w:fldCharType="end"/>
      </w:r>
    </w:p>
    <w:p w:rsidR="00000000" w:rsidRDefault="00D35856">
      <w:pPr>
        <w:pStyle w:val="TOC2"/>
        <w:rPr>
          <w:rFonts w:ascii="Times New Roman" w:hAnsi="Times New Roman"/>
          <w:sz w:val="24"/>
          <w:lang w:val="en-US"/>
        </w:rPr>
      </w:pPr>
      <w:r>
        <w:t>5.1</w:t>
      </w:r>
      <w:r>
        <w:rPr>
          <w:rFonts w:ascii="Times New Roman" w:hAnsi="Times New Roman"/>
          <w:sz w:val="24"/>
          <w:lang w:val="en-US"/>
        </w:rPr>
        <w:tab/>
      </w:r>
      <w:r>
        <w:t>Results of cost effectiveness analysis for WELS</w:t>
      </w:r>
      <w:r>
        <w:tab/>
      </w:r>
      <w:r>
        <w:fldChar w:fldCharType="begin"/>
      </w:r>
      <w:r>
        <w:instrText xml:space="preserve"> PAGEREF _Toc199933770 \h </w:instrText>
      </w:r>
      <w:r>
        <w:fldChar w:fldCharType="separate"/>
      </w:r>
      <w:r>
        <w:t>62</w:t>
      </w:r>
      <w:r>
        <w:fldChar w:fldCharType="end"/>
      </w:r>
    </w:p>
    <w:p w:rsidR="00000000" w:rsidRDefault="00D35856">
      <w:pPr>
        <w:pStyle w:val="TOC2"/>
        <w:rPr>
          <w:rFonts w:ascii="Times New Roman" w:hAnsi="Times New Roman"/>
          <w:sz w:val="24"/>
          <w:lang w:val="en-US"/>
        </w:rPr>
      </w:pPr>
      <w:r>
        <w:t>5.2</w:t>
      </w:r>
      <w:r>
        <w:rPr>
          <w:rFonts w:ascii="Times New Roman" w:hAnsi="Times New Roman"/>
          <w:sz w:val="24"/>
          <w:lang w:val="en-US"/>
        </w:rPr>
        <w:tab/>
      </w:r>
      <w:r>
        <w:t>Comparison of cost-effectiveness with other water security options</w:t>
      </w:r>
      <w:r>
        <w:tab/>
      </w:r>
      <w:r>
        <w:fldChar w:fldCharType="begin"/>
      </w:r>
      <w:r>
        <w:instrText xml:space="preserve"> PAGEREF _Toc199933771 \h </w:instrText>
      </w:r>
      <w:r>
        <w:fldChar w:fldCharType="separate"/>
      </w:r>
      <w:r>
        <w:t>63</w:t>
      </w:r>
      <w:r>
        <w:fldChar w:fldCharType="end"/>
      </w:r>
    </w:p>
    <w:p w:rsidR="00000000" w:rsidRDefault="00D35856">
      <w:pPr>
        <w:pStyle w:val="TOC1"/>
        <w:rPr>
          <w:rFonts w:ascii="Times New Roman" w:hAnsi="Times New Roman"/>
          <w:b w:val="0"/>
          <w:smallCaps w:val="0"/>
          <w:sz w:val="24"/>
          <w:lang w:val="en-US"/>
        </w:rPr>
      </w:pPr>
      <w:r>
        <w:t>6</w:t>
      </w:r>
      <w:r>
        <w:rPr>
          <w:rFonts w:ascii="Times New Roman" w:hAnsi="Times New Roman"/>
          <w:b w:val="0"/>
          <w:smallCaps w:val="0"/>
          <w:sz w:val="24"/>
          <w:lang w:val="en-US"/>
        </w:rPr>
        <w:tab/>
      </w:r>
      <w:r>
        <w:t>Opportunities</w:t>
      </w:r>
      <w:r>
        <w:tab/>
      </w:r>
      <w:r>
        <w:fldChar w:fldCharType="begin"/>
      </w:r>
      <w:r>
        <w:instrText xml:space="preserve"> PAGEREF _Toc199933772 \h </w:instrText>
      </w:r>
      <w:r>
        <w:fldChar w:fldCharType="separate"/>
      </w:r>
      <w:r>
        <w:t>65</w:t>
      </w:r>
      <w:r>
        <w:fldChar w:fldCharType="end"/>
      </w:r>
    </w:p>
    <w:p w:rsidR="00000000" w:rsidRDefault="00D35856">
      <w:pPr>
        <w:pStyle w:val="TOC2"/>
        <w:rPr>
          <w:rFonts w:ascii="Times New Roman" w:hAnsi="Times New Roman"/>
          <w:sz w:val="24"/>
          <w:lang w:val="en-US"/>
        </w:rPr>
      </w:pPr>
      <w:r>
        <w:t>6.1</w:t>
      </w:r>
      <w:r>
        <w:rPr>
          <w:rFonts w:ascii="Times New Roman" w:hAnsi="Times New Roman"/>
          <w:sz w:val="24"/>
          <w:lang w:val="en-US"/>
        </w:rPr>
        <w:tab/>
      </w:r>
      <w:r>
        <w:t>Innovation</w:t>
      </w:r>
      <w:r>
        <w:tab/>
      </w:r>
      <w:r>
        <w:fldChar w:fldCharType="begin"/>
      </w:r>
      <w:r>
        <w:instrText xml:space="preserve"> PAGEREF _Toc199933773 \h </w:instrText>
      </w:r>
      <w:r>
        <w:fldChar w:fldCharType="separate"/>
      </w:r>
      <w:r>
        <w:t>65</w:t>
      </w:r>
      <w:r>
        <w:fldChar w:fldCharType="end"/>
      </w:r>
    </w:p>
    <w:p w:rsidR="00000000" w:rsidRDefault="00D35856">
      <w:pPr>
        <w:pStyle w:val="TOC2"/>
        <w:rPr>
          <w:rFonts w:ascii="Times New Roman" w:hAnsi="Times New Roman"/>
          <w:sz w:val="24"/>
          <w:lang w:val="en-US"/>
        </w:rPr>
      </w:pPr>
      <w:r>
        <w:t>6.2</w:t>
      </w:r>
      <w:r>
        <w:rPr>
          <w:rFonts w:ascii="Times New Roman" w:hAnsi="Times New Roman"/>
          <w:sz w:val="24"/>
          <w:lang w:val="en-US"/>
        </w:rPr>
        <w:tab/>
      </w:r>
      <w:r>
        <w:t>Streamlining  with other programs</w:t>
      </w:r>
      <w:r>
        <w:tab/>
      </w:r>
      <w:r>
        <w:fldChar w:fldCharType="begin"/>
      </w:r>
      <w:r>
        <w:instrText xml:space="preserve"> PAGEREF _Toc199933774 \h </w:instrText>
      </w:r>
      <w:r>
        <w:fldChar w:fldCharType="separate"/>
      </w:r>
      <w:r>
        <w:t>66</w:t>
      </w:r>
      <w:r>
        <w:fldChar w:fldCharType="end"/>
      </w:r>
    </w:p>
    <w:p w:rsidR="00000000" w:rsidRDefault="00D35856">
      <w:pPr>
        <w:pStyle w:val="TOC2"/>
        <w:rPr>
          <w:rFonts w:ascii="Times New Roman" w:hAnsi="Times New Roman"/>
          <w:sz w:val="24"/>
          <w:lang w:val="en-US"/>
        </w:rPr>
      </w:pPr>
      <w:r>
        <w:t>6.3</w:t>
      </w:r>
      <w:r>
        <w:rPr>
          <w:rFonts w:ascii="Times New Roman" w:hAnsi="Times New Roman"/>
          <w:sz w:val="24"/>
          <w:lang w:val="en-US"/>
        </w:rPr>
        <w:tab/>
      </w:r>
      <w:r>
        <w:t>Further data and analysis</w:t>
      </w:r>
      <w:r>
        <w:tab/>
      </w:r>
      <w:r>
        <w:fldChar w:fldCharType="begin"/>
      </w:r>
      <w:r>
        <w:instrText xml:space="preserve"> PAGEREF _Toc199933775 \h </w:instrText>
      </w:r>
      <w:r>
        <w:fldChar w:fldCharType="separate"/>
      </w:r>
      <w:r>
        <w:t>66</w:t>
      </w:r>
      <w:r>
        <w:fldChar w:fldCharType="end"/>
      </w:r>
    </w:p>
    <w:p w:rsidR="00000000" w:rsidRDefault="00D35856">
      <w:pPr>
        <w:pStyle w:val="TOC1"/>
        <w:rPr>
          <w:rFonts w:ascii="Times New Roman" w:hAnsi="Times New Roman"/>
          <w:b w:val="0"/>
          <w:smallCaps w:val="0"/>
          <w:sz w:val="24"/>
          <w:lang w:val="en-US"/>
        </w:rPr>
      </w:pPr>
      <w:r>
        <w:t>7</w:t>
      </w:r>
      <w:r>
        <w:rPr>
          <w:rFonts w:ascii="Times New Roman" w:hAnsi="Times New Roman"/>
          <w:b w:val="0"/>
          <w:smallCaps w:val="0"/>
          <w:sz w:val="24"/>
          <w:lang w:val="en-US"/>
        </w:rPr>
        <w:tab/>
      </w:r>
      <w:r>
        <w:t>Summary of key findings</w:t>
      </w:r>
      <w:r>
        <w:tab/>
      </w:r>
      <w:r>
        <w:fldChar w:fldCharType="begin"/>
      </w:r>
      <w:r>
        <w:instrText xml:space="preserve"> PAGEREF _Toc199933776 \h </w:instrText>
      </w:r>
      <w:r>
        <w:fldChar w:fldCharType="separate"/>
      </w:r>
      <w:r>
        <w:t>68</w:t>
      </w:r>
      <w:r>
        <w:fldChar w:fldCharType="end"/>
      </w:r>
    </w:p>
    <w:p w:rsidR="00000000" w:rsidRDefault="00D35856">
      <w:pPr>
        <w:pStyle w:val="TOC3"/>
        <w:rPr>
          <w:rFonts w:ascii="Times New Roman" w:hAnsi="Times New Roman"/>
          <w:noProof/>
          <w:sz w:val="24"/>
          <w:lang w:val="en-US"/>
        </w:rPr>
      </w:pPr>
      <w:r>
        <w:rPr>
          <w:noProof/>
        </w:rPr>
        <w:t>WELS Registrations approved</w:t>
      </w:r>
      <w:r>
        <w:rPr>
          <w:noProof/>
        </w:rPr>
        <w:tab/>
      </w:r>
      <w:r>
        <w:rPr>
          <w:noProof/>
        </w:rPr>
        <w:fldChar w:fldCharType="begin"/>
      </w:r>
      <w:r>
        <w:rPr>
          <w:noProof/>
        </w:rPr>
        <w:instrText xml:space="preserve"> PAGEREF _Toc199933777 \h </w:instrText>
      </w:r>
      <w:r w:rsidR="00D87CE9">
        <w:rPr>
          <w:noProof/>
        </w:rPr>
      </w:r>
      <w:r>
        <w:rPr>
          <w:noProof/>
        </w:rPr>
        <w:fldChar w:fldCharType="separate"/>
      </w:r>
      <w:r>
        <w:rPr>
          <w:noProof/>
        </w:rPr>
        <w:t>74</w:t>
      </w:r>
      <w:r>
        <w:rPr>
          <w:noProof/>
        </w:rPr>
        <w:fldChar w:fldCharType="end"/>
      </w:r>
    </w:p>
    <w:p w:rsidR="00000000" w:rsidRDefault="00D35856">
      <w:pPr>
        <w:pStyle w:val="TOC3"/>
        <w:rPr>
          <w:rFonts w:ascii="Times New Roman" w:hAnsi="Times New Roman"/>
          <w:noProof/>
          <w:sz w:val="24"/>
          <w:lang w:val="en-US"/>
        </w:rPr>
      </w:pPr>
      <w:r>
        <w:rPr>
          <w:noProof/>
        </w:rPr>
        <w:t>WELS additions approved</w:t>
      </w:r>
      <w:r>
        <w:rPr>
          <w:noProof/>
        </w:rPr>
        <w:tab/>
      </w:r>
      <w:r>
        <w:rPr>
          <w:noProof/>
        </w:rPr>
        <w:fldChar w:fldCharType="begin"/>
      </w:r>
      <w:r>
        <w:rPr>
          <w:noProof/>
        </w:rPr>
        <w:instrText xml:space="preserve"> PAGEREF _Toc199933778 \h </w:instrText>
      </w:r>
      <w:r w:rsidR="00D87CE9">
        <w:rPr>
          <w:noProof/>
        </w:rPr>
      </w:r>
      <w:r>
        <w:rPr>
          <w:noProof/>
        </w:rPr>
        <w:fldChar w:fldCharType="separate"/>
      </w:r>
      <w:r>
        <w:rPr>
          <w:noProof/>
        </w:rPr>
        <w:t>75</w:t>
      </w:r>
      <w:r>
        <w:rPr>
          <w:noProof/>
        </w:rPr>
        <w:fldChar w:fldCharType="end"/>
      </w:r>
    </w:p>
    <w:p w:rsidR="00000000" w:rsidRDefault="00D35856">
      <w:pPr>
        <w:pStyle w:val="TOC3"/>
        <w:rPr>
          <w:rFonts w:ascii="Times New Roman" w:hAnsi="Times New Roman"/>
          <w:noProof/>
          <w:sz w:val="24"/>
          <w:lang w:val="en-US"/>
        </w:rPr>
      </w:pPr>
      <w:r>
        <w:rPr>
          <w:noProof/>
        </w:rPr>
        <w:t>WELS approved applications that required returning at least once</w:t>
      </w:r>
      <w:r>
        <w:rPr>
          <w:noProof/>
        </w:rPr>
        <w:tab/>
      </w:r>
      <w:r>
        <w:rPr>
          <w:noProof/>
        </w:rPr>
        <w:fldChar w:fldCharType="begin"/>
      </w:r>
      <w:r>
        <w:rPr>
          <w:noProof/>
        </w:rPr>
        <w:instrText xml:space="preserve"> PAGEREF _Toc199933779 \h </w:instrText>
      </w:r>
      <w:r w:rsidR="00D87CE9">
        <w:rPr>
          <w:noProof/>
        </w:rPr>
      </w:r>
      <w:r>
        <w:rPr>
          <w:noProof/>
        </w:rPr>
        <w:fldChar w:fldCharType="separate"/>
      </w:r>
      <w:r>
        <w:rPr>
          <w:noProof/>
        </w:rPr>
        <w:t>76</w:t>
      </w:r>
      <w:r>
        <w:rPr>
          <w:noProof/>
        </w:rPr>
        <w:fldChar w:fldCharType="end"/>
      </w:r>
    </w:p>
    <w:p w:rsidR="00000000" w:rsidRDefault="00D35856">
      <w:pPr>
        <w:pStyle w:val="TOC3"/>
        <w:rPr>
          <w:rFonts w:ascii="Times New Roman" w:hAnsi="Times New Roman"/>
          <w:noProof/>
          <w:sz w:val="24"/>
          <w:lang w:val="en-US"/>
        </w:rPr>
      </w:pPr>
      <w:r>
        <w:rPr>
          <w:noProof/>
        </w:rPr>
        <w:t>Projections of units lab</w:t>
      </w:r>
      <w:r>
        <w:rPr>
          <w:noProof/>
        </w:rPr>
        <w:t>elled</w:t>
      </w:r>
      <w:r>
        <w:rPr>
          <w:noProof/>
        </w:rPr>
        <w:tab/>
      </w:r>
      <w:r>
        <w:rPr>
          <w:noProof/>
        </w:rPr>
        <w:fldChar w:fldCharType="begin"/>
      </w:r>
      <w:r>
        <w:rPr>
          <w:noProof/>
        </w:rPr>
        <w:instrText xml:space="preserve"> PAGEREF _Toc199933780 \h </w:instrText>
      </w:r>
      <w:r w:rsidR="00D87CE9">
        <w:rPr>
          <w:noProof/>
        </w:rPr>
      </w:r>
      <w:r>
        <w:rPr>
          <w:noProof/>
        </w:rPr>
        <w:fldChar w:fldCharType="separate"/>
      </w:r>
      <w:r>
        <w:rPr>
          <w:noProof/>
        </w:rPr>
        <w:t>78</w:t>
      </w:r>
      <w:r>
        <w:rPr>
          <w:noProof/>
        </w:rPr>
        <w:fldChar w:fldCharType="end"/>
      </w:r>
    </w:p>
    <w:p w:rsidR="00000000" w:rsidRDefault="00D35856">
      <w:pPr>
        <w:pStyle w:val="TOC3"/>
        <w:rPr>
          <w:rFonts w:ascii="Times New Roman" w:hAnsi="Times New Roman"/>
          <w:noProof/>
          <w:sz w:val="24"/>
          <w:lang w:val="en-US"/>
        </w:rPr>
      </w:pPr>
      <w:r>
        <w:rPr>
          <w:noProof/>
        </w:rPr>
        <w:t>Benefits of WELS (avoided costs) NPV</w:t>
      </w:r>
      <w:r>
        <w:rPr>
          <w:noProof/>
        </w:rPr>
        <w:tab/>
      </w:r>
      <w:r>
        <w:rPr>
          <w:noProof/>
        </w:rPr>
        <w:fldChar w:fldCharType="begin"/>
      </w:r>
      <w:r>
        <w:rPr>
          <w:noProof/>
        </w:rPr>
        <w:instrText xml:space="preserve"> PAGEREF _Toc199933781 \h </w:instrText>
      </w:r>
      <w:r w:rsidR="00D87CE9">
        <w:rPr>
          <w:noProof/>
        </w:rPr>
      </w:r>
      <w:r>
        <w:rPr>
          <w:noProof/>
        </w:rPr>
        <w:fldChar w:fldCharType="separate"/>
      </w:r>
      <w:r>
        <w:rPr>
          <w:noProof/>
        </w:rPr>
        <w:t>78</w:t>
      </w:r>
      <w:r>
        <w:rPr>
          <w:noProof/>
        </w:rPr>
        <w:fldChar w:fldCharType="end"/>
      </w:r>
    </w:p>
    <w:p w:rsidR="00000000" w:rsidRDefault="00D35856">
      <w:pPr>
        <w:keepNext w:val="0"/>
        <w:tabs>
          <w:tab w:val="right" w:leader="dot" w:pos="8505"/>
        </w:tabs>
      </w:pPr>
      <w:r>
        <w:fldChar w:fldCharType="end"/>
      </w:r>
    </w:p>
    <w:p w:rsidR="00000000" w:rsidRDefault="00D35856">
      <w:pPr>
        <w:pStyle w:val="Headingother"/>
        <w:pageBreakBefore w:val="0"/>
        <w:rPr>
          <w:color w:val="auto"/>
        </w:rPr>
      </w:pPr>
      <w:bookmarkStart w:id="4" w:name="_Toc45079423"/>
      <w:r>
        <w:rPr>
          <w:color w:val="auto"/>
        </w:rPr>
        <w:t>Appe</w:t>
      </w:r>
      <w:r>
        <w:rPr>
          <w:color w:val="auto"/>
        </w:rPr>
        <w:t>ndices</w:t>
      </w:r>
      <w:bookmarkEnd w:id="4"/>
    </w:p>
    <w:p w:rsidR="00000000" w:rsidRDefault="00D35856">
      <w:pPr>
        <w:keepNext w:val="0"/>
        <w:rPr>
          <w:smallCaps/>
          <w:sz w:val="24"/>
        </w:rPr>
      </w:pPr>
      <w:r>
        <w:rPr>
          <w:smallCaps/>
          <w:sz w:val="24"/>
        </w:rPr>
        <w:t>Appendix A – Organisations Interviewed</w:t>
      </w:r>
    </w:p>
    <w:p w:rsidR="00000000" w:rsidRDefault="00D35856">
      <w:pPr>
        <w:keepNext w:val="0"/>
        <w:rPr>
          <w:smallCaps/>
          <w:sz w:val="24"/>
        </w:rPr>
      </w:pPr>
      <w:r>
        <w:rPr>
          <w:smallCaps/>
          <w:sz w:val="24"/>
        </w:rPr>
        <w:t xml:space="preserve">Appendix B – </w:t>
      </w:r>
      <w:smartTag w:uri="urn:schemas-microsoft-com:office:smarttags" w:element="City">
        <w:r>
          <w:rPr>
            <w:smallCaps/>
            <w:sz w:val="24"/>
          </w:rPr>
          <w:t>WELS</w:t>
        </w:r>
      </w:smartTag>
      <w:r>
        <w:rPr>
          <w:smallCaps/>
          <w:sz w:val="24"/>
        </w:rPr>
        <w:t xml:space="preserve"> registration data</w:t>
      </w:r>
    </w:p>
    <w:p w:rsidR="00000000" w:rsidRDefault="00D35856">
      <w:pPr>
        <w:keepNext w:val="0"/>
        <w:rPr>
          <w:smallCaps/>
          <w:sz w:val="24"/>
        </w:rPr>
      </w:pPr>
      <w:r>
        <w:rPr>
          <w:smallCaps/>
          <w:sz w:val="24"/>
        </w:rPr>
        <w:t xml:space="preserve">Appendix c – </w:t>
      </w:r>
      <w:smartTag w:uri="urn:schemas-microsoft-com:office:smarttags" w:element="City">
        <w:r>
          <w:rPr>
            <w:smallCaps/>
            <w:sz w:val="24"/>
          </w:rPr>
          <w:t>WELS</w:t>
        </w:r>
      </w:smartTag>
      <w:r>
        <w:rPr>
          <w:smallCaps/>
          <w:sz w:val="24"/>
        </w:rPr>
        <w:t xml:space="preserve"> water savings</w:t>
      </w:r>
    </w:p>
    <w:p w:rsidR="00000000" w:rsidRDefault="00D35856">
      <w:pPr>
        <w:keepNext w:val="0"/>
        <w:rPr>
          <w:smallCaps/>
          <w:sz w:val="24"/>
        </w:rPr>
      </w:pPr>
      <w:r>
        <w:rPr>
          <w:smallCaps/>
          <w:sz w:val="24"/>
        </w:rPr>
        <w:t xml:space="preserve">Appendix D – </w:t>
      </w:r>
      <w:smartTag w:uri="urn:schemas-microsoft-com:office:smarttags" w:element="City">
        <w:r>
          <w:rPr>
            <w:smallCaps/>
            <w:sz w:val="24"/>
          </w:rPr>
          <w:t>WELS</w:t>
        </w:r>
      </w:smartTag>
      <w:r>
        <w:rPr>
          <w:smallCaps/>
          <w:sz w:val="24"/>
        </w:rPr>
        <w:t xml:space="preserve"> costs and benefits</w:t>
      </w:r>
    </w:p>
    <w:p w:rsidR="00000000" w:rsidRDefault="00D35856">
      <w:pPr>
        <w:pStyle w:val="Headingother"/>
        <w:keepNext/>
        <w:pageBreakBefore w:val="0"/>
        <w:rPr>
          <w:color w:val="auto"/>
        </w:rPr>
      </w:pPr>
      <w:bookmarkStart w:id="5" w:name="_Toc45079424"/>
      <w:r>
        <w:rPr>
          <w:color w:val="auto"/>
        </w:rPr>
        <w:lastRenderedPageBreak/>
        <w:t>List of Tables</w:t>
      </w:r>
      <w:bookmarkEnd w:id="5"/>
    </w:p>
    <w:p w:rsidR="00000000" w:rsidRDefault="00D35856">
      <w:pPr>
        <w:pStyle w:val="TableofFigures"/>
        <w:tabs>
          <w:tab w:val="right" w:leader="dot" w:pos="8487"/>
        </w:tabs>
        <w:rPr>
          <w:rFonts w:ascii="Times New Roman" w:hAnsi="Times New Roman"/>
          <w:smallCaps w:val="0"/>
          <w:noProof/>
          <w:sz w:val="24"/>
          <w:lang w:val="en-US"/>
        </w:rPr>
      </w:pPr>
      <w:r>
        <w:rPr>
          <w:smallCaps w:val="0"/>
          <w:sz w:val="24"/>
        </w:rPr>
        <w:fldChar w:fldCharType="begin"/>
      </w:r>
      <w:r>
        <w:rPr>
          <w:smallCaps w:val="0"/>
          <w:sz w:val="24"/>
        </w:rPr>
        <w:instrText xml:space="preserve"> TOC \h \z \c "Table" </w:instrText>
      </w:r>
      <w:r>
        <w:rPr>
          <w:smallCaps w:val="0"/>
          <w:sz w:val="24"/>
        </w:rPr>
        <w:fldChar w:fldCharType="separate"/>
      </w:r>
      <w:hyperlink w:anchor="_Toc199933782" w:history="1">
        <w:r>
          <w:rPr>
            <w:rStyle w:val="Hyperlink"/>
            <w:noProof/>
          </w:rPr>
          <w:t>Table 2</w:t>
        </w:r>
        <w:r>
          <w:rPr>
            <w:rStyle w:val="Hyperlink"/>
            <w:noProof/>
          </w:rPr>
          <w:noBreakHyphen/>
          <w:t>1: Selected rebate programs in Australia</w:t>
        </w:r>
        <w:r>
          <w:rPr>
            <w:noProof/>
            <w:webHidden/>
          </w:rPr>
          <w:tab/>
        </w:r>
        <w:r>
          <w:rPr>
            <w:noProof/>
            <w:webHidden/>
          </w:rPr>
          <w:fldChar w:fldCharType="begin"/>
        </w:r>
        <w:r>
          <w:rPr>
            <w:noProof/>
            <w:webHidden/>
          </w:rPr>
          <w:instrText xml:space="preserve"> PAGEREF _Toc199933782 \h </w:instrText>
        </w:r>
        <w:r w:rsidR="00D87CE9">
          <w:rPr>
            <w:noProof/>
          </w:rPr>
        </w:r>
        <w:r>
          <w:rPr>
            <w:noProof/>
            <w:webHidden/>
          </w:rPr>
          <w:fldChar w:fldCharType="separate"/>
        </w:r>
        <w:r>
          <w:rPr>
            <w:noProof/>
            <w:webHidden/>
          </w:rPr>
          <w:t>9</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783" w:history="1">
        <w:r>
          <w:rPr>
            <w:rStyle w:val="Hyperlink"/>
            <w:noProof/>
          </w:rPr>
          <w:t>Table 2</w:t>
        </w:r>
        <w:r>
          <w:rPr>
            <w:rStyle w:val="Hyperlink"/>
            <w:noProof/>
          </w:rPr>
          <w:noBreakHyphen/>
          <w:t>2: Selected state based building regulations and their link to WELS products</w:t>
        </w:r>
        <w:r>
          <w:rPr>
            <w:noProof/>
            <w:webHidden/>
          </w:rPr>
          <w:tab/>
        </w:r>
        <w:r>
          <w:rPr>
            <w:noProof/>
            <w:webHidden/>
          </w:rPr>
          <w:fldChar w:fldCharType="begin"/>
        </w:r>
        <w:r>
          <w:rPr>
            <w:noProof/>
            <w:webHidden/>
          </w:rPr>
          <w:instrText xml:space="preserve"> PAGEREF _Toc199933783 \h </w:instrText>
        </w:r>
        <w:r w:rsidR="00D87CE9">
          <w:rPr>
            <w:noProof/>
          </w:rPr>
        </w:r>
        <w:r>
          <w:rPr>
            <w:noProof/>
            <w:webHidden/>
          </w:rPr>
          <w:fldChar w:fldCharType="separate"/>
        </w:r>
        <w:r>
          <w:rPr>
            <w:noProof/>
            <w:webHidden/>
          </w:rPr>
          <w:t>10</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784" w:history="1">
        <w:r>
          <w:rPr>
            <w:rStyle w:val="Hyperlink"/>
            <w:noProof/>
          </w:rPr>
          <w:t>Table 2</w:t>
        </w:r>
        <w:r>
          <w:rPr>
            <w:rStyle w:val="Hyperlink"/>
            <w:noProof/>
          </w:rPr>
          <w:noBreakHyphen/>
          <w:t>3: Costs and benefits affecting key stakeholders</w:t>
        </w:r>
        <w:r>
          <w:rPr>
            <w:noProof/>
            <w:webHidden/>
          </w:rPr>
          <w:tab/>
        </w:r>
        <w:r>
          <w:rPr>
            <w:noProof/>
            <w:webHidden/>
          </w:rPr>
          <w:fldChar w:fldCharType="begin"/>
        </w:r>
        <w:r>
          <w:rPr>
            <w:noProof/>
            <w:webHidden/>
          </w:rPr>
          <w:instrText xml:space="preserve"> PAGEREF _Toc199933784 \h </w:instrText>
        </w:r>
        <w:r w:rsidR="00D87CE9">
          <w:rPr>
            <w:noProof/>
          </w:rPr>
        </w:r>
        <w:r>
          <w:rPr>
            <w:noProof/>
            <w:webHidden/>
          </w:rPr>
          <w:fldChar w:fldCharType="separate"/>
        </w:r>
        <w:r>
          <w:rPr>
            <w:noProof/>
            <w:webHidden/>
          </w:rPr>
          <w:t>12</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785" w:history="1">
        <w:r>
          <w:rPr>
            <w:rStyle w:val="Hyperlink"/>
            <w:noProof/>
          </w:rPr>
          <w:t>Table 3</w:t>
        </w:r>
        <w:r>
          <w:rPr>
            <w:rStyle w:val="Hyperlink"/>
            <w:noProof/>
          </w:rPr>
          <w:noBreakHyphen/>
          <w:t>1: Washing machines – data sources for water savings</w:t>
        </w:r>
        <w:r>
          <w:rPr>
            <w:noProof/>
            <w:webHidden/>
          </w:rPr>
          <w:tab/>
        </w:r>
        <w:r>
          <w:rPr>
            <w:noProof/>
            <w:webHidden/>
          </w:rPr>
          <w:fldChar w:fldCharType="begin"/>
        </w:r>
        <w:r>
          <w:rPr>
            <w:noProof/>
            <w:webHidden/>
          </w:rPr>
          <w:instrText xml:space="preserve"> PAGEREF _Toc199933785 \h </w:instrText>
        </w:r>
        <w:r w:rsidR="00D87CE9">
          <w:rPr>
            <w:noProof/>
          </w:rPr>
        </w:r>
        <w:r>
          <w:rPr>
            <w:noProof/>
            <w:webHidden/>
          </w:rPr>
          <w:fldChar w:fldCharType="separate"/>
        </w:r>
        <w:r>
          <w:rPr>
            <w:noProof/>
            <w:webHidden/>
          </w:rPr>
          <w:t>16</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786" w:history="1">
        <w:r>
          <w:rPr>
            <w:rStyle w:val="Hyperlink"/>
            <w:noProof/>
          </w:rPr>
          <w:t>Table 3</w:t>
        </w:r>
        <w:r>
          <w:rPr>
            <w:rStyle w:val="Hyperlink"/>
            <w:noProof/>
          </w:rPr>
          <w:noBreakHyphen/>
          <w:t>2: Washing machines – parameters used to model updated scenarios</w:t>
        </w:r>
        <w:r>
          <w:rPr>
            <w:noProof/>
            <w:webHidden/>
          </w:rPr>
          <w:tab/>
        </w:r>
        <w:r>
          <w:rPr>
            <w:noProof/>
            <w:webHidden/>
          </w:rPr>
          <w:fldChar w:fldCharType="begin"/>
        </w:r>
        <w:r>
          <w:rPr>
            <w:noProof/>
            <w:webHidden/>
          </w:rPr>
          <w:instrText xml:space="preserve"> PAGEREF _Toc1</w:instrText>
        </w:r>
        <w:r>
          <w:rPr>
            <w:noProof/>
            <w:webHidden/>
          </w:rPr>
          <w:instrText xml:space="preserve">99933786 \h </w:instrText>
        </w:r>
        <w:r w:rsidR="00D87CE9">
          <w:rPr>
            <w:noProof/>
          </w:rPr>
        </w:r>
        <w:r>
          <w:rPr>
            <w:noProof/>
            <w:webHidden/>
          </w:rPr>
          <w:fldChar w:fldCharType="separate"/>
        </w:r>
        <w:r>
          <w:rPr>
            <w:noProof/>
            <w:webHidden/>
          </w:rPr>
          <w:t>17</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787" w:history="1">
        <w:r>
          <w:rPr>
            <w:rStyle w:val="Hyperlink"/>
            <w:noProof/>
          </w:rPr>
          <w:t>Table 3</w:t>
        </w:r>
        <w:r>
          <w:rPr>
            <w:rStyle w:val="Hyperlink"/>
            <w:noProof/>
          </w:rPr>
          <w:noBreakHyphen/>
          <w:t>3: Dishwashers – data sources for water savings</w:t>
        </w:r>
        <w:r>
          <w:rPr>
            <w:noProof/>
            <w:webHidden/>
          </w:rPr>
          <w:tab/>
        </w:r>
        <w:r>
          <w:rPr>
            <w:noProof/>
            <w:webHidden/>
          </w:rPr>
          <w:fldChar w:fldCharType="begin"/>
        </w:r>
        <w:r>
          <w:rPr>
            <w:noProof/>
            <w:webHidden/>
          </w:rPr>
          <w:instrText xml:space="preserve"> PAGEREF _Toc199933</w:instrText>
        </w:r>
        <w:r>
          <w:rPr>
            <w:noProof/>
            <w:webHidden/>
          </w:rPr>
          <w:instrText xml:space="preserve">787 \h </w:instrText>
        </w:r>
        <w:r w:rsidR="00D87CE9">
          <w:rPr>
            <w:noProof/>
          </w:rPr>
        </w:r>
        <w:r>
          <w:rPr>
            <w:noProof/>
            <w:webHidden/>
          </w:rPr>
          <w:fldChar w:fldCharType="separate"/>
        </w:r>
        <w:r>
          <w:rPr>
            <w:noProof/>
            <w:webHidden/>
          </w:rPr>
          <w:t>20</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788" w:history="1">
        <w:r>
          <w:rPr>
            <w:rStyle w:val="Hyperlink"/>
            <w:noProof/>
          </w:rPr>
          <w:t>Table 3</w:t>
        </w:r>
        <w:r>
          <w:rPr>
            <w:rStyle w:val="Hyperlink"/>
            <w:noProof/>
          </w:rPr>
          <w:noBreakHyphen/>
          <w:t>4: Dishwashers– parameters used to model updated scenarios</w:t>
        </w:r>
        <w:r>
          <w:rPr>
            <w:noProof/>
            <w:webHidden/>
          </w:rPr>
          <w:tab/>
        </w:r>
        <w:r>
          <w:rPr>
            <w:noProof/>
            <w:webHidden/>
          </w:rPr>
          <w:fldChar w:fldCharType="begin"/>
        </w:r>
        <w:r>
          <w:rPr>
            <w:noProof/>
            <w:webHidden/>
          </w:rPr>
          <w:instrText xml:space="preserve"> PAGEREF _Toc199933788 \h </w:instrText>
        </w:r>
        <w:r w:rsidR="00D87CE9">
          <w:rPr>
            <w:noProof/>
          </w:rPr>
        </w:r>
        <w:r>
          <w:rPr>
            <w:noProof/>
            <w:webHidden/>
          </w:rPr>
          <w:fldChar w:fldCharType="separate"/>
        </w:r>
        <w:r>
          <w:rPr>
            <w:noProof/>
            <w:webHidden/>
          </w:rPr>
          <w:t>21</w:t>
        </w:r>
        <w:r>
          <w:rPr>
            <w:noProof/>
            <w:webHidden/>
          </w:rPr>
          <w:fldChar w:fldCharType="end"/>
        </w:r>
      </w:hyperlink>
    </w:p>
    <w:p w:rsidR="00000000" w:rsidRDefault="00D35856">
      <w:pPr>
        <w:pStyle w:val="TableofFigures"/>
        <w:tabs>
          <w:tab w:val="right" w:leader="dot" w:pos="8487"/>
        </w:tabs>
        <w:rPr>
          <w:rStyle w:val="Hyperlink"/>
          <w:rFonts w:ascii="Times New Roman" w:hAnsi="Times New Roman"/>
          <w:smallCaps w:val="0"/>
          <w:noProof/>
          <w:color w:val="auto"/>
          <w:sz w:val="24"/>
          <w:u w:val="none"/>
          <w:lang w:val="en-US"/>
        </w:rPr>
      </w:pPr>
      <w:hyperlink w:anchor="_Toc199933788" w:history="1">
        <w:r>
          <w:rPr>
            <w:rStyle w:val="Hyperlink"/>
            <w:noProof/>
          </w:rPr>
          <w:t>Table 3</w:t>
        </w:r>
        <w:r>
          <w:rPr>
            <w:rStyle w:val="Hyperlink"/>
            <w:noProof/>
          </w:rPr>
          <w:noBreakHyphen/>
          <w:t>5: Showerheads – data sources for water savings</w:t>
        </w:r>
        <w:r>
          <w:rPr>
            <w:noProof/>
            <w:webHidden/>
          </w:rPr>
          <w:tab/>
        </w:r>
        <w:r>
          <w:rPr>
            <w:noProof/>
            <w:webHidden/>
          </w:rPr>
          <w:fldChar w:fldCharType="begin"/>
        </w:r>
        <w:r>
          <w:rPr>
            <w:noProof/>
            <w:webHidden/>
          </w:rPr>
          <w:instrText xml:space="preserve"> PAGEREF _Toc199933788 \h </w:instrText>
        </w:r>
        <w:r w:rsidR="00D87CE9">
          <w:rPr>
            <w:noProof/>
          </w:rPr>
        </w:r>
        <w:r>
          <w:rPr>
            <w:noProof/>
            <w:webHidden/>
          </w:rPr>
          <w:fldChar w:fldCharType="separate"/>
        </w:r>
        <w:r>
          <w:rPr>
            <w:noProof/>
            <w:webHidden/>
          </w:rPr>
          <w:t>21</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789" w:history="1">
        <w:r>
          <w:rPr>
            <w:rStyle w:val="Hyperlink"/>
            <w:noProof/>
          </w:rPr>
          <w:t>Table 3</w:t>
        </w:r>
        <w:r>
          <w:rPr>
            <w:rStyle w:val="Hyperlink"/>
            <w:noProof/>
          </w:rPr>
          <w:noBreakHyphen/>
          <w:t>6: RIS - Business as usual and 'Without WELS' Scenario in this report</w:t>
        </w:r>
        <w:r>
          <w:rPr>
            <w:noProof/>
            <w:webHidden/>
          </w:rPr>
          <w:tab/>
        </w:r>
        <w:r>
          <w:rPr>
            <w:noProof/>
            <w:webHidden/>
          </w:rPr>
          <w:fldChar w:fldCharType="begin"/>
        </w:r>
        <w:r>
          <w:rPr>
            <w:noProof/>
            <w:webHidden/>
          </w:rPr>
          <w:instrText xml:space="preserve"> PAGEREF _Toc199933789 \h </w:instrText>
        </w:r>
        <w:r w:rsidR="00D87CE9">
          <w:rPr>
            <w:noProof/>
          </w:rPr>
        </w:r>
        <w:r>
          <w:rPr>
            <w:noProof/>
            <w:webHidden/>
          </w:rPr>
          <w:fldChar w:fldCharType="separate"/>
        </w:r>
        <w:r>
          <w:rPr>
            <w:noProof/>
            <w:webHidden/>
          </w:rPr>
          <w:t>24</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790" w:history="1">
        <w:r>
          <w:rPr>
            <w:rStyle w:val="Hyperlink"/>
            <w:noProof/>
          </w:rPr>
          <w:t>Table 3</w:t>
        </w:r>
        <w:r>
          <w:rPr>
            <w:rStyle w:val="Hyperlink"/>
            <w:noProof/>
          </w:rPr>
          <w:noBreakHyphen/>
          <w:t>7: RIS - With Labelling Scenario</w:t>
        </w:r>
        <w:r>
          <w:rPr>
            <w:noProof/>
            <w:webHidden/>
          </w:rPr>
          <w:tab/>
        </w:r>
        <w:r>
          <w:rPr>
            <w:noProof/>
            <w:webHidden/>
          </w:rPr>
          <w:fldChar w:fldCharType="begin"/>
        </w:r>
        <w:r>
          <w:rPr>
            <w:noProof/>
            <w:webHidden/>
          </w:rPr>
          <w:instrText xml:space="preserve"> PAGEREF _Toc199933790 \h </w:instrText>
        </w:r>
        <w:r w:rsidR="00D87CE9">
          <w:rPr>
            <w:noProof/>
          </w:rPr>
        </w:r>
        <w:r>
          <w:rPr>
            <w:noProof/>
            <w:webHidden/>
          </w:rPr>
          <w:fldChar w:fldCharType="separate"/>
        </w:r>
        <w:r>
          <w:rPr>
            <w:noProof/>
            <w:webHidden/>
          </w:rPr>
          <w:t>25</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791" w:history="1">
        <w:r>
          <w:rPr>
            <w:rStyle w:val="Hyperlink"/>
            <w:noProof/>
          </w:rPr>
          <w:t>Table 3</w:t>
        </w:r>
        <w:r>
          <w:rPr>
            <w:rStyle w:val="Hyperlink"/>
            <w:noProof/>
          </w:rPr>
          <w:noBreakHyphen/>
          <w:t>8: Updated with WELS Scenario in this report</w:t>
        </w:r>
        <w:r>
          <w:rPr>
            <w:noProof/>
            <w:webHidden/>
          </w:rPr>
          <w:tab/>
        </w:r>
        <w:r>
          <w:rPr>
            <w:noProof/>
            <w:webHidden/>
          </w:rPr>
          <w:fldChar w:fldCharType="begin"/>
        </w:r>
        <w:r>
          <w:rPr>
            <w:noProof/>
            <w:webHidden/>
          </w:rPr>
          <w:instrText xml:space="preserve"> PAGEREF _Toc199933791 \h </w:instrText>
        </w:r>
        <w:r w:rsidR="00D87CE9">
          <w:rPr>
            <w:noProof/>
          </w:rPr>
        </w:r>
        <w:r>
          <w:rPr>
            <w:noProof/>
            <w:webHidden/>
          </w:rPr>
          <w:fldChar w:fldCharType="separate"/>
        </w:r>
        <w:r>
          <w:rPr>
            <w:noProof/>
            <w:webHidden/>
          </w:rPr>
          <w:t>25</w:t>
        </w:r>
        <w:r>
          <w:rPr>
            <w:noProof/>
            <w:webHidden/>
          </w:rPr>
          <w:fldChar w:fldCharType="end"/>
        </w:r>
      </w:hyperlink>
    </w:p>
    <w:p w:rsidR="00000000" w:rsidRDefault="00D35856">
      <w:pPr>
        <w:pStyle w:val="TableofFigures"/>
        <w:tabs>
          <w:tab w:val="right" w:leader="dot" w:pos="8487"/>
        </w:tabs>
        <w:rPr>
          <w:rStyle w:val="Hyperlink"/>
          <w:rFonts w:ascii="Times New Roman" w:hAnsi="Times New Roman"/>
          <w:smallCaps w:val="0"/>
          <w:noProof/>
          <w:color w:val="auto"/>
          <w:sz w:val="24"/>
          <w:u w:val="none"/>
          <w:lang w:val="en-US"/>
        </w:rPr>
      </w:pPr>
      <w:hyperlink w:anchor="_Toc199933791" w:history="1">
        <w:r>
          <w:rPr>
            <w:rStyle w:val="Hyperlink"/>
            <w:noProof/>
          </w:rPr>
          <w:t>Table 3</w:t>
        </w:r>
        <w:r>
          <w:rPr>
            <w:rStyle w:val="Hyperlink"/>
            <w:noProof/>
          </w:rPr>
          <w:noBreakHyphen/>
          <w:t>9: Toilets and urinals available data sources</w:t>
        </w:r>
        <w:r>
          <w:rPr>
            <w:noProof/>
            <w:webHidden/>
          </w:rPr>
          <w:tab/>
        </w:r>
        <w:r>
          <w:rPr>
            <w:noProof/>
            <w:webHidden/>
          </w:rPr>
          <w:fldChar w:fldCharType="begin"/>
        </w:r>
        <w:r>
          <w:rPr>
            <w:noProof/>
            <w:webHidden/>
          </w:rPr>
          <w:instrText xml:space="preserve"> PAGEREF _Toc199933791 \h </w:instrText>
        </w:r>
        <w:r w:rsidR="00D87CE9">
          <w:rPr>
            <w:noProof/>
          </w:rPr>
        </w:r>
        <w:r>
          <w:rPr>
            <w:noProof/>
            <w:webHidden/>
          </w:rPr>
          <w:fldChar w:fldCharType="separate"/>
        </w:r>
        <w:r>
          <w:rPr>
            <w:noProof/>
            <w:webHidden/>
          </w:rPr>
          <w:t>25</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792" w:history="1">
        <w:r>
          <w:rPr>
            <w:rStyle w:val="Hyperlink"/>
            <w:noProof/>
          </w:rPr>
          <w:t>Table 3</w:t>
        </w:r>
        <w:r>
          <w:rPr>
            <w:rStyle w:val="Hyperlink"/>
            <w:noProof/>
          </w:rPr>
          <w:noBreakHyphen/>
          <w:t>10 Water savings from taps (ML/a)</w:t>
        </w:r>
        <w:r>
          <w:rPr>
            <w:noProof/>
            <w:webHidden/>
          </w:rPr>
          <w:tab/>
        </w:r>
        <w:r>
          <w:rPr>
            <w:noProof/>
            <w:webHidden/>
          </w:rPr>
          <w:fldChar w:fldCharType="begin"/>
        </w:r>
        <w:r>
          <w:rPr>
            <w:noProof/>
            <w:webHidden/>
          </w:rPr>
          <w:instrText xml:space="preserve"> PAGEREF _Toc199933792 \h </w:instrText>
        </w:r>
        <w:r w:rsidR="00D87CE9">
          <w:rPr>
            <w:noProof/>
          </w:rPr>
        </w:r>
        <w:r>
          <w:rPr>
            <w:noProof/>
            <w:webHidden/>
          </w:rPr>
          <w:fldChar w:fldCharType="separate"/>
        </w:r>
        <w:r>
          <w:rPr>
            <w:noProof/>
            <w:webHidden/>
          </w:rPr>
          <w:t>30</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793" w:history="1">
        <w:r>
          <w:rPr>
            <w:rStyle w:val="Hyperlink"/>
            <w:noProof/>
          </w:rPr>
          <w:t>Table 3</w:t>
        </w:r>
        <w:r>
          <w:rPr>
            <w:rStyle w:val="Hyperlink"/>
            <w:noProof/>
          </w:rPr>
          <w:noBreakHyphen/>
          <w:t>11 Summary of water savings by Product type (ML/a)</w:t>
        </w:r>
        <w:r>
          <w:rPr>
            <w:noProof/>
            <w:webHidden/>
          </w:rPr>
          <w:tab/>
        </w:r>
        <w:r>
          <w:rPr>
            <w:noProof/>
            <w:webHidden/>
          </w:rPr>
          <w:fldChar w:fldCharType="begin"/>
        </w:r>
        <w:r>
          <w:rPr>
            <w:noProof/>
            <w:webHidden/>
          </w:rPr>
          <w:instrText xml:space="preserve"> PAGEREF _Toc199933793 \h </w:instrText>
        </w:r>
        <w:r w:rsidR="00D87CE9">
          <w:rPr>
            <w:noProof/>
          </w:rPr>
        </w:r>
        <w:r>
          <w:rPr>
            <w:noProof/>
            <w:webHidden/>
          </w:rPr>
          <w:fldChar w:fldCharType="separate"/>
        </w:r>
        <w:r>
          <w:rPr>
            <w:noProof/>
            <w:webHidden/>
          </w:rPr>
          <w:t>31</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794" w:history="1">
        <w:r>
          <w:rPr>
            <w:rStyle w:val="Hyperlink"/>
            <w:noProof/>
          </w:rPr>
          <w:t>Table 4</w:t>
        </w:r>
        <w:r>
          <w:rPr>
            <w:rStyle w:val="Hyperlink"/>
            <w:noProof/>
          </w:rPr>
          <w:noBreakHyphen/>
          <w:t>1: Data sources used for cost and benefit estimates</w:t>
        </w:r>
        <w:r>
          <w:rPr>
            <w:noProof/>
            <w:webHidden/>
          </w:rPr>
          <w:tab/>
        </w:r>
        <w:r>
          <w:rPr>
            <w:noProof/>
            <w:webHidden/>
          </w:rPr>
          <w:fldChar w:fldCharType="begin"/>
        </w:r>
        <w:r>
          <w:rPr>
            <w:noProof/>
            <w:webHidden/>
          </w:rPr>
          <w:instrText xml:space="preserve"> PAGEREF _Toc199933794 \h </w:instrText>
        </w:r>
        <w:r w:rsidR="00D87CE9">
          <w:rPr>
            <w:noProof/>
          </w:rPr>
        </w:r>
        <w:r>
          <w:rPr>
            <w:noProof/>
            <w:webHidden/>
          </w:rPr>
          <w:fldChar w:fldCharType="separate"/>
        </w:r>
        <w:r>
          <w:rPr>
            <w:noProof/>
            <w:webHidden/>
          </w:rPr>
          <w:t>33</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795" w:history="1">
        <w:r>
          <w:rPr>
            <w:rStyle w:val="Hyperlink"/>
            <w:noProof/>
          </w:rPr>
          <w:t>Table 4</w:t>
        </w:r>
        <w:r>
          <w:rPr>
            <w:rStyle w:val="Hyperlink"/>
            <w:noProof/>
          </w:rPr>
          <w:noBreakHyphen/>
          <w:t>2: Summary of estimated WELS administration costs for 2008-09.</w:t>
        </w:r>
        <w:r>
          <w:rPr>
            <w:noProof/>
            <w:webHidden/>
          </w:rPr>
          <w:tab/>
        </w:r>
        <w:r>
          <w:rPr>
            <w:noProof/>
            <w:webHidden/>
          </w:rPr>
          <w:fldChar w:fldCharType="begin"/>
        </w:r>
        <w:r>
          <w:rPr>
            <w:noProof/>
            <w:webHidden/>
          </w:rPr>
          <w:instrText xml:space="preserve"> PAGEREF _Toc199</w:instrText>
        </w:r>
        <w:r>
          <w:rPr>
            <w:noProof/>
            <w:webHidden/>
          </w:rPr>
          <w:instrText xml:space="preserve">933795 \h </w:instrText>
        </w:r>
        <w:r w:rsidR="00D87CE9">
          <w:rPr>
            <w:noProof/>
          </w:rPr>
        </w:r>
        <w:r>
          <w:rPr>
            <w:noProof/>
            <w:webHidden/>
          </w:rPr>
          <w:fldChar w:fldCharType="separate"/>
        </w:r>
        <w:r>
          <w:rPr>
            <w:noProof/>
            <w:webHidden/>
          </w:rPr>
          <w:t>35</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796" w:history="1">
        <w:r>
          <w:rPr>
            <w:rStyle w:val="Hyperlink"/>
            <w:noProof/>
          </w:rPr>
          <w:t>Table 4</w:t>
        </w:r>
        <w:r>
          <w:rPr>
            <w:rStyle w:val="Hyperlink"/>
            <w:noProof/>
          </w:rPr>
          <w:noBreakHyphen/>
          <w:t>3: Summary of Net Present Value of administration costs for WELS (2007 dollars)</w:t>
        </w:r>
        <w:r>
          <w:rPr>
            <w:noProof/>
            <w:webHidden/>
          </w:rPr>
          <w:tab/>
        </w:r>
        <w:r>
          <w:rPr>
            <w:noProof/>
            <w:webHidden/>
          </w:rPr>
          <w:fldChar w:fldCharType="begin"/>
        </w:r>
        <w:r>
          <w:rPr>
            <w:noProof/>
            <w:webHidden/>
          </w:rPr>
          <w:instrText xml:space="preserve"> PAGEREF _Toc199933796 \h </w:instrText>
        </w:r>
        <w:r w:rsidR="00D87CE9">
          <w:rPr>
            <w:noProof/>
          </w:rPr>
        </w:r>
        <w:r>
          <w:rPr>
            <w:noProof/>
            <w:webHidden/>
          </w:rPr>
          <w:fldChar w:fldCharType="separate"/>
        </w:r>
        <w:r>
          <w:rPr>
            <w:noProof/>
            <w:webHidden/>
          </w:rPr>
          <w:t>36</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797" w:history="1">
        <w:r>
          <w:rPr>
            <w:rStyle w:val="Hyperlink"/>
            <w:noProof/>
          </w:rPr>
          <w:t>Table 4</w:t>
        </w:r>
        <w:r>
          <w:rPr>
            <w:rStyle w:val="Hyperlink"/>
            <w:noProof/>
          </w:rPr>
          <w:noBreakHyphen/>
          <w:t>4: WELS Registrations by type</w:t>
        </w:r>
        <w:r>
          <w:rPr>
            <w:noProof/>
            <w:webHidden/>
          </w:rPr>
          <w:tab/>
        </w:r>
        <w:r>
          <w:rPr>
            <w:noProof/>
            <w:webHidden/>
          </w:rPr>
          <w:fldChar w:fldCharType="begin"/>
        </w:r>
        <w:r>
          <w:rPr>
            <w:noProof/>
            <w:webHidden/>
          </w:rPr>
          <w:instrText xml:space="preserve"> PAGEREF _Toc199933797 \h </w:instrText>
        </w:r>
        <w:r w:rsidR="00D87CE9">
          <w:rPr>
            <w:noProof/>
          </w:rPr>
        </w:r>
        <w:r>
          <w:rPr>
            <w:noProof/>
            <w:webHidden/>
          </w:rPr>
          <w:fldChar w:fldCharType="separate"/>
        </w:r>
        <w:r>
          <w:rPr>
            <w:noProof/>
            <w:webHidden/>
          </w:rPr>
          <w:t>37</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798" w:history="1">
        <w:r>
          <w:rPr>
            <w:rStyle w:val="Hyperlink"/>
            <w:noProof/>
          </w:rPr>
          <w:t>Table 4</w:t>
        </w:r>
        <w:r>
          <w:rPr>
            <w:rStyle w:val="Hyperlink"/>
            <w:noProof/>
          </w:rPr>
          <w:noBreakHyphen/>
          <w:t>5: Comparison of WELS registrations, projections from RIS and used in this study</w:t>
        </w:r>
        <w:r>
          <w:rPr>
            <w:noProof/>
            <w:webHidden/>
          </w:rPr>
          <w:tab/>
        </w:r>
        <w:r>
          <w:rPr>
            <w:noProof/>
            <w:webHidden/>
          </w:rPr>
          <w:fldChar w:fldCharType="begin"/>
        </w:r>
        <w:r>
          <w:rPr>
            <w:noProof/>
            <w:webHidden/>
          </w:rPr>
          <w:instrText xml:space="preserve"> PAGEREF _Toc199933798 \h </w:instrText>
        </w:r>
        <w:r w:rsidR="00D87CE9">
          <w:rPr>
            <w:noProof/>
          </w:rPr>
        </w:r>
        <w:r>
          <w:rPr>
            <w:noProof/>
            <w:webHidden/>
          </w:rPr>
          <w:fldChar w:fldCharType="separate"/>
        </w:r>
        <w:r>
          <w:rPr>
            <w:noProof/>
            <w:webHidden/>
          </w:rPr>
          <w:t>38</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799" w:history="1">
        <w:r>
          <w:rPr>
            <w:rStyle w:val="Hyperlink"/>
            <w:noProof/>
          </w:rPr>
          <w:t>Table 4</w:t>
        </w:r>
        <w:r>
          <w:rPr>
            <w:rStyle w:val="Hyperlink"/>
            <w:noProof/>
          </w:rPr>
          <w:noBreakHyphen/>
          <w:t>6: Testing costs for equipment types</w:t>
        </w:r>
        <w:r>
          <w:rPr>
            <w:noProof/>
            <w:webHidden/>
          </w:rPr>
          <w:tab/>
        </w:r>
        <w:r>
          <w:rPr>
            <w:noProof/>
            <w:webHidden/>
          </w:rPr>
          <w:fldChar w:fldCharType="begin"/>
        </w:r>
        <w:r>
          <w:rPr>
            <w:noProof/>
            <w:webHidden/>
          </w:rPr>
          <w:instrText xml:space="preserve"> PAGEREF _Toc199933799 \h </w:instrText>
        </w:r>
        <w:r w:rsidR="00D87CE9">
          <w:rPr>
            <w:noProof/>
          </w:rPr>
        </w:r>
        <w:r>
          <w:rPr>
            <w:noProof/>
            <w:webHidden/>
          </w:rPr>
          <w:fldChar w:fldCharType="separate"/>
        </w:r>
        <w:r>
          <w:rPr>
            <w:noProof/>
            <w:webHidden/>
          </w:rPr>
          <w:t>39</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00" w:history="1">
        <w:r>
          <w:rPr>
            <w:rStyle w:val="Hyperlink"/>
            <w:noProof/>
          </w:rPr>
          <w:t>Table 4</w:t>
        </w:r>
        <w:r>
          <w:rPr>
            <w:rStyle w:val="Hyperlink"/>
            <w:noProof/>
          </w:rPr>
          <w:noBreakHyphen/>
          <w:t>7: Projected costs associated with testing (NPV at 1.6%, 3.5% and 7% discount rates)</w:t>
        </w:r>
        <w:r>
          <w:rPr>
            <w:noProof/>
            <w:webHidden/>
          </w:rPr>
          <w:tab/>
        </w:r>
        <w:r>
          <w:rPr>
            <w:noProof/>
            <w:webHidden/>
          </w:rPr>
          <w:fldChar w:fldCharType="begin"/>
        </w:r>
        <w:r>
          <w:rPr>
            <w:noProof/>
            <w:webHidden/>
          </w:rPr>
          <w:instrText xml:space="preserve"> PAGEREF _Toc199933800 \h </w:instrText>
        </w:r>
        <w:r w:rsidR="00D87CE9">
          <w:rPr>
            <w:noProof/>
          </w:rPr>
        </w:r>
        <w:r>
          <w:rPr>
            <w:noProof/>
            <w:webHidden/>
          </w:rPr>
          <w:fldChar w:fldCharType="separate"/>
        </w:r>
        <w:r>
          <w:rPr>
            <w:noProof/>
            <w:webHidden/>
          </w:rPr>
          <w:t>40</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01" w:history="1">
        <w:r>
          <w:rPr>
            <w:rStyle w:val="Hyperlink"/>
            <w:noProof/>
          </w:rPr>
          <w:t>Table 4</w:t>
        </w:r>
        <w:r>
          <w:rPr>
            <w:rStyle w:val="Hyperlink"/>
            <w:noProof/>
          </w:rPr>
          <w:noBreakHyphen/>
          <w:t>8:  Actual and projected registration fee costs/revenue</w:t>
        </w:r>
        <w:r>
          <w:rPr>
            <w:noProof/>
            <w:webHidden/>
          </w:rPr>
          <w:tab/>
        </w:r>
        <w:r>
          <w:rPr>
            <w:noProof/>
            <w:webHidden/>
          </w:rPr>
          <w:fldChar w:fldCharType="begin"/>
        </w:r>
        <w:r>
          <w:rPr>
            <w:noProof/>
            <w:webHidden/>
          </w:rPr>
          <w:instrText xml:space="preserve"> PAGEREF _Toc199933801 \h </w:instrText>
        </w:r>
        <w:r w:rsidR="00D87CE9">
          <w:rPr>
            <w:noProof/>
          </w:rPr>
        </w:r>
        <w:r>
          <w:rPr>
            <w:noProof/>
            <w:webHidden/>
          </w:rPr>
          <w:fldChar w:fldCharType="separate"/>
        </w:r>
        <w:r>
          <w:rPr>
            <w:noProof/>
            <w:webHidden/>
          </w:rPr>
          <w:t>40</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02" w:history="1">
        <w:r>
          <w:rPr>
            <w:rStyle w:val="Hyperlink"/>
            <w:noProof/>
          </w:rPr>
          <w:t>Table 4</w:t>
        </w:r>
        <w:r>
          <w:rPr>
            <w:rStyle w:val="Hyperlink"/>
            <w:noProof/>
          </w:rPr>
          <w:noBreakHyphen/>
          <w:t>9: Average percentage of applications Jul 2005 to Nov 2007 that required return</w:t>
        </w:r>
        <w:r>
          <w:rPr>
            <w:rStyle w:val="Hyperlink"/>
            <w:noProof/>
          </w:rPr>
          <w:t>ing</w:t>
        </w:r>
        <w:r>
          <w:rPr>
            <w:noProof/>
            <w:webHidden/>
          </w:rPr>
          <w:tab/>
        </w:r>
        <w:r>
          <w:rPr>
            <w:noProof/>
            <w:webHidden/>
          </w:rPr>
          <w:fldChar w:fldCharType="begin"/>
        </w:r>
        <w:r>
          <w:rPr>
            <w:noProof/>
            <w:webHidden/>
          </w:rPr>
          <w:instrText xml:space="preserve"> PAGEREF _Toc199933802 \h </w:instrText>
        </w:r>
        <w:r w:rsidR="00D87CE9">
          <w:rPr>
            <w:noProof/>
          </w:rPr>
        </w:r>
        <w:r>
          <w:rPr>
            <w:noProof/>
            <w:webHidden/>
          </w:rPr>
          <w:fldChar w:fldCharType="separate"/>
        </w:r>
        <w:r>
          <w:rPr>
            <w:noProof/>
            <w:webHidden/>
          </w:rPr>
          <w:t>42</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03" w:history="1">
        <w:r>
          <w:rPr>
            <w:rStyle w:val="Hyperlink"/>
            <w:noProof/>
          </w:rPr>
          <w:t>Table 4</w:t>
        </w:r>
        <w:r>
          <w:rPr>
            <w:rStyle w:val="Hyperlink"/>
            <w:noProof/>
          </w:rPr>
          <w:noBreakHyphen/>
          <w:t>10: Time cost of registration process to supplier</w:t>
        </w:r>
        <w:r>
          <w:rPr>
            <w:rStyle w:val="Hyperlink"/>
            <w:noProof/>
          </w:rPr>
          <w:t>s: actual to November 2007, and projected to 2020-21</w:t>
        </w:r>
        <w:r>
          <w:rPr>
            <w:noProof/>
            <w:webHidden/>
          </w:rPr>
          <w:tab/>
        </w:r>
        <w:r>
          <w:rPr>
            <w:noProof/>
            <w:webHidden/>
          </w:rPr>
          <w:fldChar w:fldCharType="begin"/>
        </w:r>
        <w:r>
          <w:rPr>
            <w:noProof/>
            <w:webHidden/>
          </w:rPr>
          <w:instrText xml:space="preserve"> PAGEREF _Toc199933803 \h </w:instrText>
        </w:r>
        <w:r w:rsidR="00D87CE9">
          <w:rPr>
            <w:noProof/>
          </w:rPr>
        </w:r>
        <w:r>
          <w:rPr>
            <w:noProof/>
            <w:webHidden/>
          </w:rPr>
          <w:fldChar w:fldCharType="separate"/>
        </w:r>
        <w:r>
          <w:rPr>
            <w:noProof/>
            <w:webHidden/>
          </w:rPr>
          <w:t>43</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04" w:history="1">
        <w:r>
          <w:rPr>
            <w:rStyle w:val="Hyperlink"/>
            <w:noProof/>
          </w:rPr>
          <w:t>Table 4</w:t>
        </w:r>
        <w:r>
          <w:rPr>
            <w:rStyle w:val="Hyperlink"/>
            <w:noProof/>
          </w:rPr>
          <w:noBreakHyphen/>
          <w:t>11: Net Present Value labelling costs</w:t>
        </w:r>
        <w:r>
          <w:rPr>
            <w:noProof/>
            <w:webHidden/>
          </w:rPr>
          <w:tab/>
        </w:r>
        <w:r>
          <w:rPr>
            <w:noProof/>
            <w:webHidden/>
          </w:rPr>
          <w:fldChar w:fldCharType="begin"/>
        </w:r>
        <w:r>
          <w:rPr>
            <w:noProof/>
            <w:webHidden/>
          </w:rPr>
          <w:instrText xml:space="preserve"> PAGEREF _Toc199933804 \h </w:instrText>
        </w:r>
        <w:r w:rsidR="00D87CE9">
          <w:rPr>
            <w:noProof/>
          </w:rPr>
        </w:r>
        <w:r>
          <w:rPr>
            <w:noProof/>
            <w:webHidden/>
          </w:rPr>
          <w:fldChar w:fldCharType="separate"/>
        </w:r>
        <w:r>
          <w:rPr>
            <w:noProof/>
            <w:webHidden/>
          </w:rPr>
          <w:t>44</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05" w:history="1">
        <w:r>
          <w:rPr>
            <w:rStyle w:val="Hyperlink"/>
            <w:noProof/>
          </w:rPr>
          <w:t>Table 4</w:t>
        </w:r>
        <w:r>
          <w:rPr>
            <w:rStyle w:val="Hyperlink"/>
            <w:noProof/>
          </w:rPr>
          <w:noBreakHyphen/>
          <w:t>12: Energy intensity factors</w:t>
        </w:r>
        <w:r>
          <w:rPr>
            <w:noProof/>
            <w:webHidden/>
          </w:rPr>
          <w:tab/>
        </w:r>
        <w:r>
          <w:rPr>
            <w:noProof/>
            <w:webHidden/>
          </w:rPr>
          <w:fldChar w:fldCharType="begin"/>
        </w:r>
        <w:r>
          <w:rPr>
            <w:noProof/>
            <w:webHidden/>
          </w:rPr>
          <w:instrText xml:space="preserve"> PAGEREF _Toc199933805 \h </w:instrText>
        </w:r>
        <w:r w:rsidR="00D87CE9">
          <w:rPr>
            <w:noProof/>
          </w:rPr>
        </w:r>
        <w:r>
          <w:rPr>
            <w:noProof/>
            <w:webHidden/>
          </w:rPr>
          <w:fldChar w:fldCharType="separate"/>
        </w:r>
        <w:r>
          <w:rPr>
            <w:noProof/>
            <w:webHidden/>
          </w:rPr>
          <w:t>54</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06" w:history="1">
        <w:r>
          <w:rPr>
            <w:rStyle w:val="Hyperlink"/>
            <w:noProof/>
          </w:rPr>
          <w:t>Table 4</w:t>
        </w:r>
        <w:r>
          <w:rPr>
            <w:rStyle w:val="Hyperlink"/>
            <w:noProof/>
          </w:rPr>
          <w:noBreakHyphen/>
          <w:t>13 Total energy savings by source</w:t>
        </w:r>
        <w:r>
          <w:rPr>
            <w:noProof/>
            <w:webHidden/>
          </w:rPr>
          <w:tab/>
        </w:r>
        <w:r>
          <w:rPr>
            <w:noProof/>
            <w:webHidden/>
          </w:rPr>
          <w:fldChar w:fldCharType="begin"/>
        </w:r>
        <w:r>
          <w:rPr>
            <w:noProof/>
            <w:webHidden/>
          </w:rPr>
          <w:instrText xml:space="preserve"> PAGEREF _Toc199933806 \h </w:instrText>
        </w:r>
        <w:r w:rsidR="00D87CE9">
          <w:rPr>
            <w:noProof/>
          </w:rPr>
        </w:r>
        <w:r>
          <w:rPr>
            <w:noProof/>
            <w:webHidden/>
          </w:rPr>
          <w:fldChar w:fldCharType="separate"/>
        </w:r>
        <w:r>
          <w:rPr>
            <w:noProof/>
            <w:webHidden/>
          </w:rPr>
          <w:t>55</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07" w:history="1">
        <w:r>
          <w:rPr>
            <w:rStyle w:val="Hyperlink"/>
            <w:noProof/>
          </w:rPr>
          <w:t>Table 4</w:t>
        </w:r>
        <w:r>
          <w:rPr>
            <w:rStyle w:val="Hyperlink"/>
            <w:noProof/>
          </w:rPr>
          <w:noBreakHyphen/>
          <w:t>14: Summary of costs and benefits by stakeholder group – NPV (2005-06 to 2020-21)</w:t>
        </w:r>
        <w:r>
          <w:rPr>
            <w:noProof/>
            <w:webHidden/>
          </w:rPr>
          <w:tab/>
        </w:r>
        <w:r>
          <w:rPr>
            <w:noProof/>
            <w:webHidden/>
          </w:rPr>
          <w:fldChar w:fldCharType="begin"/>
        </w:r>
        <w:r>
          <w:rPr>
            <w:noProof/>
            <w:webHidden/>
          </w:rPr>
          <w:instrText xml:space="preserve"> PAGEREF _Toc199933807 \h </w:instrText>
        </w:r>
        <w:r w:rsidR="00D87CE9">
          <w:rPr>
            <w:noProof/>
          </w:rPr>
        </w:r>
        <w:r>
          <w:rPr>
            <w:noProof/>
            <w:webHidden/>
          </w:rPr>
          <w:fldChar w:fldCharType="separate"/>
        </w:r>
        <w:r>
          <w:rPr>
            <w:noProof/>
            <w:webHidden/>
          </w:rPr>
          <w:t>59</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08" w:history="1">
        <w:r>
          <w:rPr>
            <w:rStyle w:val="Hyperlink"/>
            <w:noProof/>
          </w:rPr>
          <w:t>Table 4</w:t>
        </w:r>
        <w:r>
          <w:rPr>
            <w:rStyle w:val="Hyperlink"/>
            <w:noProof/>
          </w:rPr>
          <w:noBreakHyphen/>
          <w:t>15: Summary of upper estimates of costs to suppliers NPV (2005-06 to 2020-21)</w:t>
        </w:r>
        <w:r>
          <w:rPr>
            <w:noProof/>
            <w:webHidden/>
          </w:rPr>
          <w:tab/>
        </w:r>
        <w:r>
          <w:rPr>
            <w:noProof/>
            <w:webHidden/>
          </w:rPr>
          <w:fldChar w:fldCharType="begin"/>
        </w:r>
        <w:r>
          <w:rPr>
            <w:noProof/>
            <w:webHidden/>
          </w:rPr>
          <w:instrText xml:space="preserve"> PAGEREF _Toc199933808 \h </w:instrText>
        </w:r>
        <w:r w:rsidR="00D87CE9">
          <w:rPr>
            <w:noProof/>
          </w:rPr>
        </w:r>
        <w:r>
          <w:rPr>
            <w:noProof/>
            <w:webHidden/>
          </w:rPr>
          <w:fldChar w:fldCharType="separate"/>
        </w:r>
        <w:r>
          <w:rPr>
            <w:noProof/>
            <w:webHidden/>
          </w:rPr>
          <w:t>60</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09" w:history="1">
        <w:r>
          <w:rPr>
            <w:rStyle w:val="Hyperlink"/>
            <w:noProof/>
          </w:rPr>
          <w:t>Table 4</w:t>
        </w:r>
        <w:r>
          <w:rPr>
            <w:rStyle w:val="Hyperlink"/>
            <w:noProof/>
          </w:rPr>
          <w:noBreakHyphen/>
          <w:t>16: Range of estimates of customer bill savings NPV (2005-06 to 2020-21)</w:t>
        </w:r>
        <w:r>
          <w:rPr>
            <w:noProof/>
            <w:webHidden/>
          </w:rPr>
          <w:tab/>
        </w:r>
        <w:r>
          <w:rPr>
            <w:noProof/>
            <w:webHidden/>
          </w:rPr>
          <w:fldChar w:fldCharType="begin"/>
        </w:r>
        <w:r>
          <w:rPr>
            <w:noProof/>
            <w:webHidden/>
          </w:rPr>
          <w:instrText xml:space="preserve"> PAGEREF _Toc199933809 \h </w:instrText>
        </w:r>
        <w:r w:rsidR="00D87CE9">
          <w:rPr>
            <w:noProof/>
          </w:rPr>
        </w:r>
        <w:r>
          <w:rPr>
            <w:noProof/>
            <w:webHidden/>
          </w:rPr>
          <w:fldChar w:fldCharType="separate"/>
        </w:r>
        <w:r>
          <w:rPr>
            <w:noProof/>
            <w:webHidden/>
          </w:rPr>
          <w:t>60</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10" w:history="1">
        <w:r>
          <w:rPr>
            <w:rStyle w:val="Hyperlink"/>
            <w:noProof/>
          </w:rPr>
          <w:t>Table 4</w:t>
        </w:r>
        <w:r>
          <w:rPr>
            <w:rStyle w:val="Hyperlink"/>
            <w:noProof/>
          </w:rPr>
          <w:noBreakHyphen/>
          <w:t>17: Net cost of WELS, whole-of-society (Australia) NPV (2005-06 to 2020-21)</w:t>
        </w:r>
        <w:r>
          <w:rPr>
            <w:noProof/>
            <w:webHidden/>
          </w:rPr>
          <w:tab/>
        </w:r>
        <w:r>
          <w:rPr>
            <w:noProof/>
            <w:webHidden/>
          </w:rPr>
          <w:fldChar w:fldCharType="begin"/>
        </w:r>
        <w:r>
          <w:rPr>
            <w:noProof/>
            <w:webHidden/>
          </w:rPr>
          <w:instrText xml:space="preserve"> PA</w:instrText>
        </w:r>
        <w:r>
          <w:rPr>
            <w:noProof/>
            <w:webHidden/>
          </w:rPr>
          <w:instrText xml:space="preserve">GEREF _Toc199933810 \h </w:instrText>
        </w:r>
        <w:r w:rsidR="00D87CE9">
          <w:rPr>
            <w:noProof/>
          </w:rPr>
        </w:r>
        <w:r>
          <w:rPr>
            <w:noProof/>
            <w:webHidden/>
          </w:rPr>
          <w:fldChar w:fldCharType="separate"/>
        </w:r>
        <w:r>
          <w:rPr>
            <w:noProof/>
            <w:webHidden/>
          </w:rPr>
          <w:t>61</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11" w:history="1">
        <w:r>
          <w:rPr>
            <w:rStyle w:val="Hyperlink"/>
            <w:noProof/>
          </w:rPr>
          <w:t>Table 5</w:t>
        </w:r>
        <w:r>
          <w:rPr>
            <w:rStyle w:val="Hyperlink"/>
            <w:noProof/>
          </w:rPr>
          <w:noBreakHyphen/>
          <w:t>1: Net Present Value and Unit Cost of WELS</w:t>
        </w:r>
        <w:r>
          <w:rPr>
            <w:noProof/>
            <w:webHidden/>
          </w:rPr>
          <w:tab/>
        </w:r>
        <w:r>
          <w:rPr>
            <w:noProof/>
            <w:webHidden/>
          </w:rPr>
          <w:fldChar w:fldCharType="begin"/>
        </w:r>
        <w:r>
          <w:rPr>
            <w:noProof/>
            <w:webHidden/>
          </w:rPr>
          <w:instrText xml:space="preserve"> PAGEREF _To</w:instrText>
        </w:r>
        <w:r>
          <w:rPr>
            <w:noProof/>
            <w:webHidden/>
          </w:rPr>
          <w:instrText xml:space="preserve">c199933811 \h </w:instrText>
        </w:r>
        <w:r w:rsidR="00D87CE9">
          <w:rPr>
            <w:noProof/>
          </w:rPr>
        </w:r>
        <w:r>
          <w:rPr>
            <w:noProof/>
            <w:webHidden/>
          </w:rPr>
          <w:fldChar w:fldCharType="separate"/>
        </w:r>
        <w:r>
          <w:rPr>
            <w:noProof/>
            <w:webHidden/>
          </w:rPr>
          <w:t>62</w:t>
        </w:r>
        <w:r>
          <w:rPr>
            <w:noProof/>
            <w:webHidden/>
          </w:rPr>
          <w:fldChar w:fldCharType="end"/>
        </w:r>
      </w:hyperlink>
    </w:p>
    <w:p w:rsidR="00000000" w:rsidRDefault="00D35856">
      <w:pPr>
        <w:rPr>
          <w:smallCaps/>
          <w:sz w:val="24"/>
        </w:rPr>
      </w:pPr>
      <w:r>
        <w:rPr>
          <w:smallCaps/>
          <w:sz w:val="24"/>
        </w:rPr>
        <w:fldChar w:fldCharType="end"/>
      </w:r>
    </w:p>
    <w:p w:rsidR="00000000" w:rsidRDefault="00D35856">
      <w:pPr>
        <w:pStyle w:val="Headingother"/>
        <w:keepNext/>
        <w:rPr>
          <w:color w:val="auto"/>
        </w:rPr>
      </w:pPr>
      <w:bookmarkStart w:id="6" w:name="_Toc45079425"/>
      <w:r>
        <w:rPr>
          <w:color w:val="auto"/>
        </w:rPr>
        <w:lastRenderedPageBreak/>
        <w:t>List of Figures</w:t>
      </w:r>
      <w:bookmarkEnd w:id="6"/>
      <w:r>
        <w:rPr>
          <w:color w:val="auto"/>
        </w:rPr>
        <w:t xml:space="preserve"> </w:t>
      </w:r>
    </w:p>
    <w:p w:rsidR="00000000" w:rsidRDefault="00D35856">
      <w:pPr>
        <w:pStyle w:val="TableofFigures"/>
        <w:tabs>
          <w:tab w:val="right" w:leader="dot" w:pos="8487"/>
        </w:tabs>
        <w:rPr>
          <w:rFonts w:ascii="Times New Roman" w:hAnsi="Times New Roman"/>
          <w:smallCaps w:val="0"/>
          <w:noProof/>
          <w:sz w:val="24"/>
          <w:lang w:val="en-US"/>
        </w:rPr>
      </w:pPr>
      <w:r>
        <w:rPr>
          <w:smallCaps w:val="0"/>
          <w:sz w:val="24"/>
        </w:rPr>
        <w:fldChar w:fldCharType="begin"/>
      </w:r>
      <w:r>
        <w:rPr>
          <w:smallCaps w:val="0"/>
          <w:sz w:val="24"/>
        </w:rPr>
        <w:instrText xml:space="preserve"> TOC \h \z \c "Figure" </w:instrText>
      </w:r>
      <w:r>
        <w:rPr>
          <w:smallCaps w:val="0"/>
          <w:sz w:val="24"/>
        </w:rPr>
        <w:fldChar w:fldCharType="separate"/>
      </w:r>
      <w:hyperlink w:anchor="_Toc199933812" w:history="1">
        <w:r>
          <w:rPr>
            <w:rStyle w:val="Hyperlink"/>
            <w:noProof/>
          </w:rPr>
          <w:t>Figure 1</w:t>
        </w:r>
        <w:r>
          <w:rPr>
            <w:rStyle w:val="Hyperlink"/>
            <w:noProof/>
          </w:rPr>
          <w:noBreakHyphen/>
          <w:t>1: Outline of report</w:t>
        </w:r>
        <w:r>
          <w:rPr>
            <w:noProof/>
            <w:webHidden/>
          </w:rPr>
          <w:tab/>
        </w:r>
        <w:r>
          <w:rPr>
            <w:noProof/>
            <w:webHidden/>
          </w:rPr>
          <w:fldChar w:fldCharType="begin"/>
        </w:r>
        <w:r>
          <w:rPr>
            <w:noProof/>
            <w:webHidden/>
          </w:rPr>
          <w:instrText xml:space="preserve"> PAGEREF _Toc199933812 \h </w:instrText>
        </w:r>
        <w:r w:rsidR="00D87CE9">
          <w:rPr>
            <w:noProof/>
          </w:rPr>
        </w:r>
        <w:r>
          <w:rPr>
            <w:noProof/>
            <w:webHidden/>
          </w:rPr>
          <w:fldChar w:fldCharType="separate"/>
        </w:r>
        <w:r>
          <w:rPr>
            <w:noProof/>
            <w:webHidden/>
          </w:rPr>
          <w:t>4</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13" w:history="1">
        <w:r>
          <w:rPr>
            <w:rStyle w:val="Hyperlink"/>
            <w:noProof/>
          </w:rPr>
          <w:t>Figure 2</w:t>
        </w:r>
        <w:r>
          <w:rPr>
            <w:rStyle w:val="Hyperlink"/>
            <w:noProof/>
          </w:rPr>
          <w:noBreakHyphen/>
          <w:t>1 WELS mechanisms to achieve water savings: additional to that which would have occurred under voluntary labelling baseline.</w:t>
        </w:r>
        <w:r>
          <w:rPr>
            <w:noProof/>
            <w:webHidden/>
          </w:rPr>
          <w:tab/>
        </w:r>
        <w:r>
          <w:rPr>
            <w:noProof/>
            <w:webHidden/>
          </w:rPr>
          <w:fldChar w:fldCharType="begin"/>
        </w:r>
        <w:r>
          <w:rPr>
            <w:noProof/>
            <w:webHidden/>
          </w:rPr>
          <w:instrText xml:space="preserve"> PAGEREF _Toc199933813 \h </w:instrText>
        </w:r>
        <w:r w:rsidR="00D87CE9">
          <w:rPr>
            <w:noProof/>
          </w:rPr>
        </w:r>
        <w:r>
          <w:rPr>
            <w:noProof/>
            <w:webHidden/>
          </w:rPr>
          <w:fldChar w:fldCharType="separate"/>
        </w:r>
        <w:r>
          <w:rPr>
            <w:noProof/>
            <w:webHidden/>
          </w:rPr>
          <w:t>8</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14" w:history="1">
        <w:r>
          <w:rPr>
            <w:rStyle w:val="Hyperlink"/>
            <w:noProof/>
          </w:rPr>
          <w:t>Figure 2</w:t>
        </w:r>
        <w:r>
          <w:rPr>
            <w:rStyle w:val="Hyperlink"/>
            <w:noProof/>
          </w:rPr>
          <w:noBreakHyphen/>
          <w:t>2: Conceptual approach and boundaries for cost-benefit analysis</w:t>
        </w:r>
        <w:r>
          <w:rPr>
            <w:noProof/>
            <w:webHidden/>
          </w:rPr>
          <w:tab/>
        </w:r>
        <w:r>
          <w:rPr>
            <w:noProof/>
            <w:webHidden/>
          </w:rPr>
          <w:fldChar w:fldCharType="begin"/>
        </w:r>
        <w:r>
          <w:rPr>
            <w:noProof/>
            <w:webHidden/>
          </w:rPr>
          <w:instrText xml:space="preserve"> PAGEREF _Toc199933814 \h </w:instrText>
        </w:r>
        <w:r w:rsidR="00D87CE9">
          <w:rPr>
            <w:noProof/>
          </w:rPr>
        </w:r>
        <w:r>
          <w:rPr>
            <w:noProof/>
            <w:webHidden/>
          </w:rPr>
          <w:fldChar w:fldCharType="separate"/>
        </w:r>
        <w:r>
          <w:rPr>
            <w:noProof/>
            <w:webHidden/>
          </w:rPr>
          <w:t>11</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15" w:history="1">
        <w:r>
          <w:rPr>
            <w:rStyle w:val="Hyperlink"/>
            <w:noProof/>
          </w:rPr>
          <w:t>Figure 3</w:t>
        </w:r>
        <w:r>
          <w:rPr>
            <w:rStyle w:val="Hyperlink"/>
            <w:noProof/>
          </w:rPr>
          <w:noBreakHyphen/>
          <w:t>1 Mains water use by sector, Australia 1996/7 (George Wilkenfeld and Associate</w:t>
        </w:r>
        <w:r>
          <w:rPr>
            <w:rStyle w:val="Hyperlink"/>
            <w:noProof/>
          </w:rPr>
          <w:t>s, 2003)</w:t>
        </w:r>
        <w:r>
          <w:rPr>
            <w:noProof/>
            <w:webHidden/>
          </w:rPr>
          <w:tab/>
        </w:r>
        <w:r>
          <w:rPr>
            <w:noProof/>
            <w:webHidden/>
          </w:rPr>
          <w:fldChar w:fldCharType="begin"/>
        </w:r>
        <w:r>
          <w:rPr>
            <w:noProof/>
            <w:webHidden/>
          </w:rPr>
          <w:instrText xml:space="preserve"> PAGEREF _Toc199933815 \h </w:instrText>
        </w:r>
        <w:r w:rsidR="00D87CE9">
          <w:rPr>
            <w:noProof/>
          </w:rPr>
        </w:r>
        <w:r>
          <w:rPr>
            <w:noProof/>
            <w:webHidden/>
          </w:rPr>
          <w:fldChar w:fldCharType="separate"/>
        </w:r>
        <w:r>
          <w:rPr>
            <w:noProof/>
            <w:webHidden/>
          </w:rPr>
          <w:t>13</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16" w:history="1">
        <w:r>
          <w:rPr>
            <w:rStyle w:val="Hyperlink"/>
            <w:noProof/>
          </w:rPr>
          <w:t>Figure 3</w:t>
        </w:r>
        <w:r>
          <w:rPr>
            <w:rStyle w:val="Hyperlink"/>
            <w:noProof/>
          </w:rPr>
          <w:noBreakHyphen/>
          <w:t>2: Relative magnitude of water end uses in</w:t>
        </w:r>
        <w:r>
          <w:rPr>
            <w:rStyle w:val="Hyperlink"/>
            <w:noProof/>
          </w:rPr>
          <w:t xml:space="preserve"> Melbourne</w:t>
        </w:r>
        <w:r>
          <w:rPr>
            <w:noProof/>
            <w:webHidden/>
          </w:rPr>
          <w:tab/>
        </w:r>
        <w:r>
          <w:rPr>
            <w:noProof/>
            <w:webHidden/>
          </w:rPr>
          <w:fldChar w:fldCharType="begin"/>
        </w:r>
        <w:r>
          <w:rPr>
            <w:noProof/>
            <w:webHidden/>
          </w:rPr>
          <w:instrText xml:space="preserve"> PAGEREF _Toc199933816 \h </w:instrText>
        </w:r>
        <w:r w:rsidR="00D87CE9">
          <w:rPr>
            <w:noProof/>
          </w:rPr>
        </w:r>
        <w:r>
          <w:rPr>
            <w:noProof/>
            <w:webHidden/>
          </w:rPr>
          <w:fldChar w:fldCharType="separate"/>
        </w:r>
        <w:r>
          <w:rPr>
            <w:noProof/>
            <w:webHidden/>
          </w:rPr>
          <w:t>14</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17" w:history="1">
        <w:r>
          <w:rPr>
            <w:rStyle w:val="Hyperlink"/>
            <w:noProof/>
          </w:rPr>
          <w:t>Figure 3</w:t>
        </w:r>
        <w:r>
          <w:rPr>
            <w:rStyle w:val="Hyperlink"/>
            <w:noProof/>
          </w:rPr>
          <w:noBreakHyphen/>
          <w:t>3: Conceptual modelling basis for RIS scenarios and Updated Scenarios</w:t>
        </w:r>
        <w:r>
          <w:rPr>
            <w:noProof/>
            <w:webHidden/>
          </w:rPr>
          <w:tab/>
        </w:r>
        <w:r>
          <w:rPr>
            <w:noProof/>
            <w:webHidden/>
          </w:rPr>
          <w:fldChar w:fldCharType="begin"/>
        </w:r>
        <w:r>
          <w:rPr>
            <w:noProof/>
            <w:webHidden/>
          </w:rPr>
          <w:instrText xml:space="preserve"> PAGEREF _Toc199933817 \h </w:instrText>
        </w:r>
        <w:r w:rsidR="00D87CE9">
          <w:rPr>
            <w:noProof/>
          </w:rPr>
        </w:r>
        <w:r>
          <w:rPr>
            <w:noProof/>
            <w:webHidden/>
          </w:rPr>
          <w:fldChar w:fldCharType="separate"/>
        </w:r>
        <w:r>
          <w:rPr>
            <w:noProof/>
            <w:webHidden/>
          </w:rPr>
          <w:t>17</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18" w:history="1">
        <w:r>
          <w:rPr>
            <w:rStyle w:val="Hyperlink"/>
            <w:noProof/>
          </w:rPr>
          <w:t>Figure 3</w:t>
        </w:r>
        <w:r>
          <w:rPr>
            <w:rStyle w:val="Hyperlink"/>
            <w:noProof/>
          </w:rPr>
          <w:noBreakHyphen/>
          <w:t>4: Average water consumption per wash (7 kg load) showing reductions from WELS compared with BAU scenario</w:t>
        </w:r>
        <w:r>
          <w:rPr>
            <w:noProof/>
            <w:webHidden/>
          </w:rPr>
          <w:tab/>
        </w:r>
        <w:r>
          <w:rPr>
            <w:noProof/>
            <w:webHidden/>
          </w:rPr>
          <w:fldChar w:fldCharType="begin"/>
        </w:r>
        <w:r>
          <w:rPr>
            <w:noProof/>
            <w:webHidden/>
          </w:rPr>
          <w:instrText xml:space="preserve"> PAGEREF _Toc199933818 \h </w:instrText>
        </w:r>
        <w:r w:rsidR="00D87CE9">
          <w:rPr>
            <w:noProof/>
          </w:rPr>
        </w:r>
        <w:r>
          <w:rPr>
            <w:noProof/>
            <w:webHidden/>
          </w:rPr>
          <w:fldChar w:fldCharType="separate"/>
        </w:r>
        <w:r>
          <w:rPr>
            <w:noProof/>
            <w:webHidden/>
          </w:rPr>
          <w:t>18</w:t>
        </w:r>
        <w:r>
          <w:rPr>
            <w:noProof/>
            <w:webHidden/>
          </w:rPr>
          <w:fldChar w:fldCharType="end"/>
        </w:r>
      </w:hyperlink>
    </w:p>
    <w:p w:rsidR="00000000" w:rsidRDefault="00D35856">
      <w:pPr>
        <w:pStyle w:val="TableofFigures"/>
        <w:tabs>
          <w:tab w:val="right" w:leader="dot" w:pos="8487"/>
        </w:tabs>
        <w:rPr>
          <w:rStyle w:val="Hyperlink"/>
          <w:rFonts w:ascii="Times New Roman" w:hAnsi="Times New Roman"/>
          <w:smallCaps w:val="0"/>
          <w:noProof/>
          <w:color w:val="auto"/>
          <w:sz w:val="24"/>
          <w:u w:val="none"/>
          <w:lang w:val="en-US"/>
        </w:rPr>
      </w:pPr>
      <w:hyperlink w:anchor="_Toc199933818" w:history="1">
        <w:r>
          <w:rPr>
            <w:rStyle w:val="Hyperlink"/>
            <w:noProof/>
          </w:rPr>
          <w:t>Figure 3</w:t>
        </w:r>
        <w:r>
          <w:rPr>
            <w:rStyle w:val="Hyperlink"/>
            <w:noProof/>
          </w:rPr>
          <w:noBreakHyphen/>
          <w:t>5: Average water consumption per wash (7 kg load) showing the difference in the RIS (George Wilkenfeld and Ass</w:t>
        </w:r>
        <w:r>
          <w:rPr>
            <w:rStyle w:val="Hyperlink"/>
            <w:noProof/>
          </w:rPr>
          <w:t>ociates 2004) and recent projections using updated data points</w:t>
        </w:r>
        <w:r>
          <w:rPr>
            <w:noProof/>
            <w:webHidden/>
          </w:rPr>
          <w:tab/>
        </w:r>
        <w:r>
          <w:rPr>
            <w:noProof/>
            <w:webHidden/>
          </w:rPr>
          <w:fldChar w:fldCharType="begin"/>
        </w:r>
        <w:r>
          <w:rPr>
            <w:noProof/>
            <w:webHidden/>
          </w:rPr>
          <w:instrText xml:space="preserve"> PAGEREF _Toc199933818 \h </w:instrText>
        </w:r>
        <w:r w:rsidR="00D87CE9">
          <w:rPr>
            <w:noProof/>
          </w:rPr>
        </w:r>
        <w:r>
          <w:rPr>
            <w:noProof/>
            <w:webHidden/>
          </w:rPr>
          <w:fldChar w:fldCharType="separate"/>
        </w:r>
        <w:r>
          <w:rPr>
            <w:noProof/>
            <w:webHidden/>
          </w:rPr>
          <w:t>18</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19" w:history="1">
        <w:r>
          <w:rPr>
            <w:rStyle w:val="Hyperlink"/>
            <w:noProof/>
          </w:rPr>
          <w:t>Figure 3</w:t>
        </w:r>
        <w:r>
          <w:rPr>
            <w:rStyle w:val="Hyperlink"/>
            <w:noProof/>
          </w:rPr>
          <w:noBreakHyphen/>
          <w:t>6: Dishwasher scenarios</w:t>
        </w:r>
        <w:r>
          <w:rPr>
            <w:noProof/>
            <w:webHidden/>
          </w:rPr>
          <w:tab/>
        </w:r>
        <w:r>
          <w:rPr>
            <w:noProof/>
            <w:webHidden/>
          </w:rPr>
          <w:fldChar w:fldCharType="begin"/>
        </w:r>
        <w:r>
          <w:rPr>
            <w:noProof/>
            <w:webHidden/>
          </w:rPr>
          <w:instrText xml:space="preserve"> PAGEREF _Toc199933819 \h </w:instrText>
        </w:r>
        <w:r w:rsidR="00D87CE9">
          <w:rPr>
            <w:noProof/>
          </w:rPr>
        </w:r>
        <w:r>
          <w:rPr>
            <w:noProof/>
            <w:webHidden/>
          </w:rPr>
          <w:fldChar w:fldCharType="separate"/>
        </w:r>
        <w:r>
          <w:rPr>
            <w:noProof/>
            <w:webHidden/>
          </w:rPr>
          <w:t>21</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20" w:history="1">
        <w:r>
          <w:rPr>
            <w:rStyle w:val="Hyperlink"/>
            <w:noProof/>
          </w:rPr>
          <w:t>Figure 3</w:t>
        </w:r>
        <w:r>
          <w:rPr>
            <w:rStyle w:val="Hyperlink"/>
            <w:noProof/>
          </w:rPr>
          <w:noBreakHyphen/>
          <w:t>7: Dishwasher efficiency; actual and projected</w:t>
        </w:r>
        <w:r>
          <w:rPr>
            <w:noProof/>
            <w:webHidden/>
          </w:rPr>
          <w:tab/>
        </w:r>
        <w:r>
          <w:rPr>
            <w:noProof/>
            <w:webHidden/>
          </w:rPr>
          <w:fldChar w:fldCharType="begin"/>
        </w:r>
        <w:r>
          <w:rPr>
            <w:noProof/>
            <w:webHidden/>
          </w:rPr>
          <w:instrText xml:space="preserve"> PAGEREF _Toc199933820 \h </w:instrText>
        </w:r>
        <w:r w:rsidR="00D87CE9">
          <w:rPr>
            <w:noProof/>
          </w:rPr>
        </w:r>
        <w:r>
          <w:rPr>
            <w:noProof/>
            <w:webHidden/>
          </w:rPr>
          <w:fldChar w:fldCharType="separate"/>
        </w:r>
        <w:r>
          <w:rPr>
            <w:noProof/>
            <w:webHidden/>
          </w:rPr>
          <w:t>22</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21" w:history="1">
        <w:r>
          <w:rPr>
            <w:rStyle w:val="Hyperlink"/>
            <w:noProof/>
          </w:rPr>
          <w:t>Figure 3</w:t>
        </w:r>
        <w:r>
          <w:rPr>
            <w:rStyle w:val="Hyperlink"/>
            <w:noProof/>
          </w:rPr>
          <w:noBreakHyphen/>
          <w:t>8: Dishwasher usage projections</w:t>
        </w:r>
        <w:r>
          <w:rPr>
            <w:noProof/>
            <w:webHidden/>
          </w:rPr>
          <w:tab/>
        </w:r>
        <w:r>
          <w:rPr>
            <w:noProof/>
            <w:webHidden/>
          </w:rPr>
          <w:fldChar w:fldCharType="begin"/>
        </w:r>
        <w:r>
          <w:rPr>
            <w:noProof/>
            <w:webHidden/>
          </w:rPr>
          <w:instrText xml:space="preserve"> PAGEREF _Toc199933821 \h </w:instrText>
        </w:r>
        <w:r w:rsidR="00D87CE9">
          <w:rPr>
            <w:noProof/>
          </w:rPr>
        </w:r>
        <w:r>
          <w:rPr>
            <w:noProof/>
            <w:webHidden/>
          </w:rPr>
          <w:fldChar w:fldCharType="separate"/>
        </w:r>
        <w:r>
          <w:rPr>
            <w:noProof/>
            <w:webHidden/>
          </w:rPr>
          <w:t>22</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22" w:history="1">
        <w:r>
          <w:rPr>
            <w:rStyle w:val="Hyperlink"/>
            <w:noProof/>
          </w:rPr>
          <w:t>Figure 3</w:t>
        </w:r>
        <w:r>
          <w:rPr>
            <w:rStyle w:val="Hyperlink"/>
            <w:noProof/>
          </w:rPr>
          <w:noBreakHyphen/>
          <w:t>9: Households with water-efficient shower heads installed (ABS 4602.0 (2007), Graph 4.4, p47)</w:t>
        </w:r>
        <w:r>
          <w:rPr>
            <w:noProof/>
            <w:webHidden/>
          </w:rPr>
          <w:tab/>
        </w:r>
        <w:r>
          <w:rPr>
            <w:noProof/>
            <w:webHidden/>
          </w:rPr>
          <w:fldChar w:fldCharType="begin"/>
        </w:r>
        <w:r>
          <w:rPr>
            <w:noProof/>
            <w:webHidden/>
          </w:rPr>
          <w:instrText xml:space="preserve"> PAGEREF _Toc199933822 \h </w:instrText>
        </w:r>
        <w:r w:rsidR="00D87CE9">
          <w:rPr>
            <w:noProof/>
          </w:rPr>
        </w:r>
        <w:r>
          <w:rPr>
            <w:noProof/>
            <w:webHidden/>
          </w:rPr>
          <w:fldChar w:fldCharType="separate"/>
        </w:r>
        <w:r>
          <w:rPr>
            <w:noProof/>
            <w:webHidden/>
          </w:rPr>
          <w:t>23</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23" w:history="1">
        <w:r>
          <w:rPr>
            <w:rStyle w:val="Hyperlink"/>
            <w:noProof/>
          </w:rPr>
          <w:t>Figure 3</w:t>
        </w:r>
        <w:r>
          <w:rPr>
            <w:rStyle w:val="Hyperlink"/>
            <w:noProof/>
          </w:rPr>
          <w:noBreakHyphen/>
          <w:t>10: RIS modelled stock of showerheads 'Business as Usual' (George Wilkenfeld and Associates, 2004)</w:t>
        </w:r>
        <w:r>
          <w:rPr>
            <w:noProof/>
            <w:webHidden/>
          </w:rPr>
          <w:tab/>
        </w:r>
        <w:r>
          <w:rPr>
            <w:noProof/>
            <w:webHidden/>
          </w:rPr>
          <w:fldChar w:fldCharType="begin"/>
        </w:r>
        <w:r>
          <w:rPr>
            <w:noProof/>
            <w:webHidden/>
          </w:rPr>
          <w:instrText xml:space="preserve"> PAGEREF _Toc199933823 \h </w:instrText>
        </w:r>
        <w:r w:rsidR="00D87CE9">
          <w:rPr>
            <w:noProof/>
          </w:rPr>
        </w:r>
        <w:r>
          <w:rPr>
            <w:noProof/>
            <w:webHidden/>
          </w:rPr>
          <w:fldChar w:fldCharType="separate"/>
        </w:r>
        <w:r>
          <w:rPr>
            <w:noProof/>
            <w:webHidden/>
          </w:rPr>
          <w:t>24</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24" w:history="1">
        <w:r>
          <w:rPr>
            <w:rStyle w:val="Hyperlink"/>
            <w:noProof/>
          </w:rPr>
          <w:t>Figure 3</w:t>
        </w:r>
        <w:r>
          <w:rPr>
            <w:rStyle w:val="Hyperlink"/>
            <w:noProof/>
          </w:rPr>
          <w:noBreakHyphen/>
          <w:t>11: RIS modelled stock of showerheads 'With Labelling' (George Wilkenfeld and Associates, 2004)</w:t>
        </w:r>
        <w:r>
          <w:rPr>
            <w:noProof/>
            <w:webHidden/>
          </w:rPr>
          <w:tab/>
        </w:r>
        <w:r>
          <w:rPr>
            <w:noProof/>
            <w:webHidden/>
          </w:rPr>
          <w:fldChar w:fldCharType="begin"/>
        </w:r>
        <w:r>
          <w:rPr>
            <w:noProof/>
            <w:webHidden/>
          </w:rPr>
          <w:instrText xml:space="preserve"> PAGEREF _Toc199933824 \h </w:instrText>
        </w:r>
        <w:r w:rsidR="00D87CE9">
          <w:rPr>
            <w:noProof/>
          </w:rPr>
        </w:r>
        <w:r>
          <w:rPr>
            <w:noProof/>
            <w:webHidden/>
          </w:rPr>
          <w:fldChar w:fldCharType="separate"/>
        </w:r>
        <w:r>
          <w:rPr>
            <w:noProof/>
            <w:webHidden/>
          </w:rPr>
          <w:t>24</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25" w:history="1">
        <w:r>
          <w:rPr>
            <w:rStyle w:val="Hyperlink"/>
            <w:noProof/>
          </w:rPr>
          <w:t>Figure 3</w:t>
        </w:r>
        <w:r>
          <w:rPr>
            <w:rStyle w:val="Hyperlink"/>
            <w:noProof/>
          </w:rPr>
          <w:noBreakHyphen/>
          <w:t>12. Approach to estimation of toilet and urinal water use</w:t>
        </w:r>
        <w:r>
          <w:rPr>
            <w:noProof/>
            <w:webHidden/>
          </w:rPr>
          <w:tab/>
        </w:r>
        <w:r>
          <w:rPr>
            <w:noProof/>
            <w:webHidden/>
          </w:rPr>
          <w:fldChar w:fldCharType="begin"/>
        </w:r>
        <w:r>
          <w:rPr>
            <w:noProof/>
            <w:webHidden/>
          </w:rPr>
          <w:instrText xml:space="preserve"> PAGEREF _Toc199933825 \h </w:instrText>
        </w:r>
        <w:r w:rsidR="00D87CE9">
          <w:rPr>
            <w:noProof/>
          </w:rPr>
        </w:r>
        <w:r>
          <w:rPr>
            <w:noProof/>
            <w:webHidden/>
          </w:rPr>
          <w:fldChar w:fldCharType="separate"/>
        </w:r>
        <w:r>
          <w:rPr>
            <w:noProof/>
            <w:webHidden/>
          </w:rPr>
          <w:t>26</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26" w:history="1">
        <w:r>
          <w:rPr>
            <w:rStyle w:val="Hyperlink"/>
            <w:noProof/>
          </w:rPr>
          <w:t>Figure 3</w:t>
        </w:r>
        <w:r>
          <w:rPr>
            <w:rStyle w:val="Hyperlink"/>
            <w:noProof/>
          </w:rPr>
          <w:noBreakHyphen/>
          <w:t>13. Residential toilet stock prediction with WELS.</w:t>
        </w:r>
        <w:r>
          <w:rPr>
            <w:noProof/>
            <w:webHidden/>
          </w:rPr>
          <w:tab/>
        </w:r>
        <w:r>
          <w:rPr>
            <w:noProof/>
            <w:webHidden/>
          </w:rPr>
          <w:fldChar w:fldCharType="begin"/>
        </w:r>
        <w:r>
          <w:rPr>
            <w:noProof/>
            <w:webHidden/>
          </w:rPr>
          <w:instrText xml:space="preserve"> PAGEREF _Toc199933826 \h </w:instrText>
        </w:r>
        <w:r w:rsidR="00D87CE9">
          <w:rPr>
            <w:noProof/>
          </w:rPr>
        </w:r>
        <w:r>
          <w:rPr>
            <w:noProof/>
            <w:webHidden/>
          </w:rPr>
          <w:fldChar w:fldCharType="separate"/>
        </w:r>
        <w:r>
          <w:rPr>
            <w:noProof/>
            <w:webHidden/>
          </w:rPr>
          <w:t>27</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27" w:history="1">
        <w:r>
          <w:rPr>
            <w:rStyle w:val="Hyperlink"/>
            <w:noProof/>
          </w:rPr>
          <w:t>Figure 3</w:t>
        </w:r>
        <w:r>
          <w:rPr>
            <w:rStyle w:val="Hyperlink"/>
            <w:noProof/>
          </w:rPr>
          <w:noBreakHyphen/>
          <w:t>14. Residential toilet stock prediction without WELS.</w:t>
        </w:r>
        <w:r>
          <w:rPr>
            <w:noProof/>
            <w:webHidden/>
          </w:rPr>
          <w:tab/>
        </w:r>
        <w:r>
          <w:rPr>
            <w:noProof/>
            <w:webHidden/>
          </w:rPr>
          <w:fldChar w:fldCharType="begin"/>
        </w:r>
        <w:r>
          <w:rPr>
            <w:noProof/>
            <w:webHidden/>
          </w:rPr>
          <w:instrText xml:space="preserve"> PAGEREF _Toc199933827 \h </w:instrText>
        </w:r>
        <w:r w:rsidR="00D87CE9">
          <w:rPr>
            <w:noProof/>
          </w:rPr>
        </w:r>
        <w:r>
          <w:rPr>
            <w:noProof/>
            <w:webHidden/>
          </w:rPr>
          <w:fldChar w:fldCharType="separate"/>
        </w:r>
        <w:r>
          <w:rPr>
            <w:noProof/>
            <w:webHidden/>
          </w:rPr>
          <w:t>27</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28" w:history="1">
        <w:r>
          <w:rPr>
            <w:rStyle w:val="Hyperlink"/>
            <w:noProof/>
          </w:rPr>
          <w:t>Figure 3</w:t>
        </w:r>
        <w:r>
          <w:rPr>
            <w:rStyle w:val="Hyperlink"/>
            <w:noProof/>
          </w:rPr>
          <w:noBreakHyphen/>
          <w:t>15. Estimated average urinal flush volume over time.</w:t>
        </w:r>
        <w:r>
          <w:rPr>
            <w:noProof/>
            <w:webHidden/>
          </w:rPr>
          <w:tab/>
        </w:r>
        <w:r>
          <w:rPr>
            <w:noProof/>
            <w:webHidden/>
          </w:rPr>
          <w:fldChar w:fldCharType="begin"/>
        </w:r>
        <w:r>
          <w:rPr>
            <w:noProof/>
            <w:webHidden/>
          </w:rPr>
          <w:instrText xml:space="preserve"> PAGEREF _Toc199933828 \h </w:instrText>
        </w:r>
        <w:r w:rsidR="00D87CE9">
          <w:rPr>
            <w:noProof/>
          </w:rPr>
        </w:r>
        <w:r>
          <w:rPr>
            <w:noProof/>
            <w:webHidden/>
          </w:rPr>
          <w:fldChar w:fldCharType="separate"/>
        </w:r>
        <w:r>
          <w:rPr>
            <w:noProof/>
            <w:webHidden/>
          </w:rPr>
          <w:t>28</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29" w:history="1">
        <w:r>
          <w:rPr>
            <w:rStyle w:val="Hyperlink"/>
            <w:noProof/>
          </w:rPr>
          <w:t>Figure 3</w:t>
        </w:r>
        <w:r>
          <w:rPr>
            <w:rStyle w:val="Hyperlink"/>
            <w:noProof/>
          </w:rPr>
          <w:noBreakHyphen/>
          <w:t>16 Summary of water savings by product type (ML/a)</w:t>
        </w:r>
        <w:r>
          <w:rPr>
            <w:noProof/>
            <w:webHidden/>
          </w:rPr>
          <w:tab/>
        </w:r>
        <w:r>
          <w:rPr>
            <w:noProof/>
            <w:webHidden/>
          </w:rPr>
          <w:fldChar w:fldCharType="begin"/>
        </w:r>
        <w:r>
          <w:rPr>
            <w:noProof/>
            <w:webHidden/>
          </w:rPr>
          <w:instrText xml:space="preserve"> PAGEREF _Toc199933829 \h </w:instrText>
        </w:r>
        <w:r w:rsidR="00D87CE9">
          <w:rPr>
            <w:noProof/>
          </w:rPr>
        </w:r>
        <w:r>
          <w:rPr>
            <w:noProof/>
            <w:webHidden/>
          </w:rPr>
          <w:fldChar w:fldCharType="separate"/>
        </w:r>
        <w:r>
          <w:rPr>
            <w:noProof/>
            <w:webHidden/>
          </w:rPr>
          <w:t>31</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30" w:history="1">
        <w:r>
          <w:rPr>
            <w:rStyle w:val="Hyperlink"/>
            <w:noProof/>
          </w:rPr>
          <w:t>Figure 4</w:t>
        </w:r>
        <w:r>
          <w:rPr>
            <w:rStyle w:val="Hyperlink"/>
            <w:noProof/>
          </w:rPr>
          <w:noBreakHyphen/>
          <w:t>1: WELS cumulative registration numbers over time</w:t>
        </w:r>
        <w:r>
          <w:rPr>
            <w:noProof/>
            <w:webHidden/>
          </w:rPr>
          <w:tab/>
        </w:r>
        <w:r>
          <w:rPr>
            <w:noProof/>
            <w:webHidden/>
          </w:rPr>
          <w:fldChar w:fldCharType="begin"/>
        </w:r>
        <w:r>
          <w:rPr>
            <w:noProof/>
            <w:webHidden/>
          </w:rPr>
          <w:instrText xml:space="preserve"> PAGEREF _Toc199933830 \h </w:instrText>
        </w:r>
        <w:r w:rsidR="00D87CE9">
          <w:rPr>
            <w:noProof/>
          </w:rPr>
        </w:r>
        <w:r>
          <w:rPr>
            <w:noProof/>
            <w:webHidden/>
          </w:rPr>
          <w:fldChar w:fldCharType="separate"/>
        </w:r>
        <w:r>
          <w:rPr>
            <w:noProof/>
            <w:webHidden/>
          </w:rPr>
          <w:t>38</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31" w:history="1">
        <w:r>
          <w:rPr>
            <w:rStyle w:val="Hyperlink"/>
            <w:noProof/>
          </w:rPr>
          <w:t>Figure 4</w:t>
        </w:r>
        <w:r>
          <w:rPr>
            <w:rStyle w:val="Hyperlink"/>
            <w:noProof/>
          </w:rPr>
          <w:noBreakHyphen/>
          <w:t>2: Percentage of application that required returning by type</w:t>
        </w:r>
        <w:r>
          <w:rPr>
            <w:noProof/>
            <w:webHidden/>
          </w:rPr>
          <w:tab/>
        </w:r>
        <w:r>
          <w:rPr>
            <w:noProof/>
            <w:webHidden/>
          </w:rPr>
          <w:fldChar w:fldCharType="begin"/>
        </w:r>
        <w:r>
          <w:rPr>
            <w:noProof/>
            <w:webHidden/>
          </w:rPr>
          <w:instrText xml:space="preserve"> PAGEREF _Toc199933</w:instrText>
        </w:r>
        <w:r>
          <w:rPr>
            <w:noProof/>
            <w:webHidden/>
          </w:rPr>
          <w:instrText xml:space="preserve">831 \h </w:instrText>
        </w:r>
        <w:r w:rsidR="00D87CE9">
          <w:rPr>
            <w:noProof/>
          </w:rPr>
        </w:r>
        <w:r>
          <w:rPr>
            <w:noProof/>
            <w:webHidden/>
          </w:rPr>
          <w:fldChar w:fldCharType="separate"/>
        </w:r>
        <w:r>
          <w:rPr>
            <w:noProof/>
            <w:webHidden/>
          </w:rPr>
          <w:t>42</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32" w:history="1">
        <w:r>
          <w:rPr>
            <w:rStyle w:val="Hyperlink"/>
            <w:noProof/>
          </w:rPr>
          <w:t>Figure 4</w:t>
        </w:r>
        <w:r>
          <w:rPr>
            <w:rStyle w:val="Hyperlink"/>
            <w:noProof/>
          </w:rPr>
          <w:noBreakHyphen/>
          <w:t>3: Washing machine sales  in 2006 and prices by star rating</w:t>
        </w:r>
        <w:r>
          <w:rPr>
            <w:noProof/>
            <w:webHidden/>
          </w:rPr>
          <w:tab/>
        </w:r>
        <w:r>
          <w:rPr>
            <w:noProof/>
            <w:webHidden/>
          </w:rPr>
          <w:fldChar w:fldCharType="begin"/>
        </w:r>
        <w:r>
          <w:rPr>
            <w:noProof/>
            <w:webHidden/>
          </w:rPr>
          <w:instrText xml:space="preserve"> PAGEREF _Toc199933832 \h </w:instrText>
        </w:r>
        <w:r w:rsidR="00D87CE9">
          <w:rPr>
            <w:noProof/>
          </w:rPr>
        </w:r>
        <w:r>
          <w:rPr>
            <w:noProof/>
            <w:webHidden/>
          </w:rPr>
          <w:fldChar w:fldCharType="separate"/>
        </w:r>
        <w:r>
          <w:rPr>
            <w:noProof/>
            <w:webHidden/>
          </w:rPr>
          <w:t>48</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33" w:history="1">
        <w:r>
          <w:rPr>
            <w:rStyle w:val="Hyperlink"/>
            <w:noProof/>
          </w:rPr>
          <w:t>Figure 4</w:t>
        </w:r>
        <w:r>
          <w:rPr>
            <w:rStyle w:val="Hyperlink"/>
            <w:noProof/>
          </w:rPr>
          <w:noBreakHyphen/>
          <w:t>4: Dishwasher sales in 2006 and prices by star rating</w:t>
        </w:r>
        <w:r>
          <w:rPr>
            <w:noProof/>
            <w:webHidden/>
          </w:rPr>
          <w:tab/>
        </w:r>
        <w:r>
          <w:rPr>
            <w:noProof/>
            <w:webHidden/>
          </w:rPr>
          <w:fldChar w:fldCharType="begin"/>
        </w:r>
        <w:r>
          <w:rPr>
            <w:noProof/>
            <w:webHidden/>
          </w:rPr>
          <w:instrText xml:space="preserve"> PAGEREF _Toc199933833 \h </w:instrText>
        </w:r>
        <w:r w:rsidR="00D87CE9">
          <w:rPr>
            <w:noProof/>
          </w:rPr>
        </w:r>
        <w:r>
          <w:rPr>
            <w:noProof/>
            <w:webHidden/>
          </w:rPr>
          <w:fldChar w:fldCharType="separate"/>
        </w:r>
        <w:r>
          <w:rPr>
            <w:noProof/>
            <w:webHidden/>
          </w:rPr>
          <w:t>48</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34" w:history="1">
        <w:r>
          <w:rPr>
            <w:rStyle w:val="Hyperlink"/>
            <w:noProof/>
          </w:rPr>
          <w:t>Figure 4</w:t>
        </w:r>
        <w:r>
          <w:rPr>
            <w:rStyle w:val="Hyperlink"/>
            <w:noProof/>
          </w:rPr>
          <w:noBreakHyphen/>
          <w:t>5: Washing machines sold in 2006 by price category</w:t>
        </w:r>
        <w:r>
          <w:rPr>
            <w:noProof/>
            <w:webHidden/>
          </w:rPr>
          <w:tab/>
        </w:r>
        <w:r>
          <w:rPr>
            <w:noProof/>
            <w:webHidden/>
          </w:rPr>
          <w:fldChar w:fldCharType="begin"/>
        </w:r>
        <w:r>
          <w:rPr>
            <w:noProof/>
            <w:webHidden/>
          </w:rPr>
          <w:instrText xml:space="preserve"> PAGEREF _Toc199933834 \h </w:instrText>
        </w:r>
        <w:r w:rsidR="00D87CE9">
          <w:rPr>
            <w:noProof/>
          </w:rPr>
        </w:r>
        <w:r>
          <w:rPr>
            <w:noProof/>
            <w:webHidden/>
          </w:rPr>
          <w:fldChar w:fldCharType="separate"/>
        </w:r>
        <w:r>
          <w:rPr>
            <w:noProof/>
            <w:webHidden/>
          </w:rPr>
          <w:t>48</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35" w:history="1">
        <w:r>
          <w:rPr>
            <w:rStyle w:val="Hyperlink"/>
            <w:noProof/>
          </w:rPr>
          <w:t>Figure 4</w:t>
        </w:r>
        <w:r>
          <w:rPr>
            <w:rStyle w:val="Hyperlink"/>
            <w:noProof/>
          </w:rPr>
          <w:noBreakHyphen/>
          <w:t>6: Dishwashers sold in 2006 by price category</w:t>
        </w:r>
        <w:r>
          <w:rPr>
            <w:noProof/>
            <w:webHidden/>
          </w:rPr>
          <w:tab/>
        </w:r>
        <w:r>
          <w:rPr>
            <w:noProof/>
            <w:webHidden/>
          </w:rPr>
          <w:fldChar w:fldCharType="begin"/>
        </w:r>
        <w:r>
          <w:rPr>
            <w:noProof/>
            <w:webHidden/>
          </w:rPr>
          <w:instrText xml:space="preserve"> PAGEREF _Toc199933835 \h </w:instrText>
        </w:r>
        <w:r w:rsidR="00D87CE9">
          <w:rPr>
            <w:noProof/>
          </w:rPr>
        </w:r>
        <w:r>
          <w:rPr>
            <w:noProof/>
            <w:webHidden/>
          </w:rPr>
          <w:fldChar w:fldCharType="separate"/>
        </w:r>
        <w:r>
          <w:rPr>
            <w:noProof/>
            <w:webHidden/>
          </w:rPr>
          <w:t>49</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36" w:history="1">
        <w:r>
          <w:rPr>
            <w:rStyle w:val="Hyperlink"/>
            <w:noProof/>
          </w:rPr>
          <w:t>Figure 4</w:t>
        </w:r>
        <w:r>
          <w:rPr>
            <w:rStyle w:val="Hyperlink"/>
            <w:noProof/>
          </w:rPr>
          <w:noBreakHyphen/>
          <w:t>7: Number of models available for dishwashers (a) and clothes washers (b) in 2006</w:t>
        </w:r>
        <w:r>
          <w:rPr>
            <w:noProof/>
            <w:webHidden/>
          </w:rPr>
          <w:tab/>
        </w:r>
        <w:r>
          <w:rPr>
            <w:noProof/>
            <w:webHidden/>
          </w:rPr>
          <w:fldChar w:fldCharType="begin"/>
        </w:r>
        <w:r>
          <w:rPr>
            <w:noProof/>
            <w:webHidden/>
          </w:rPr>
          <w:instrText xml:space="preserve"> PAGEREF _Toc199933836 \h </w:instrText>
        </w:r>
        <w:r w:rsidR="00D87CE9">
          <w:rPr>
            <w:noProof/>
          </w:rPr>
        </w:r>
        <w:r>
          <w:rPr>
            <w:noProof/>
            <w:webHidden/>
          </w:rPr>
          <w:fldChar w:fldCharType="separate"/>
        </w:r>
        <w:r>
          <w:rPr>
            <w:noProof/>
            <w:webHidden/>
          </w:rPr>
          <w:t>49</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37" w:history="1">
        <w:r>
          <w:rPr>
            <w:rStyle w:val="Hyperlink"/>
            <w:noProof/>
          </w:rPr>
          <w:t>Figure 4</w:t>
        </w:r>
        <w:r>
          <w:rPr>
            <w:rStyle w:val="Hyperlink"/>
            <w:noProof/>
          </w:rPr>
          <w:noBreakHyphen/>
          <w:t>8: Washing machines – price ranges of available models (2006)</w:t>
        </w:r>
        <w:r>
          <w:rPr>
            <w:noProof/>
            <w:webHidden/>
          </w:rPr>
          <w:tab/>
        </w:r>
        <w:r>
          <w:rPr>
            <w:noProof/>
            <w:webHidden/>
          </w:rPr>
          <w:fldChar w:fldCharType="begin"/>
        </w:r>
        <w:r>
          <w:rPr>
            <w:noProof/>
            <w:webHidden/>
          </w:rPr>
          <w:instrText xml:space="preserve"> PAGEREF _Toc199933837 \h </w:instrText>
        </w:r>
        <w:r w:rsidR="00D87CE9">
          <w:rPr>
            <w:noProof/>
          </w:rPr>
        </w:r>
        <w:r>
          <w:rPr>
            <w:noProof/>
            <w:webHidden/>
          </w:rPr>
          <w:fldChar w:fldCharType="separate"/>
        </w:r>
        <w:r>
          <w:rPr>
            <w:noProof/>
            <w:webHidden/>
          </w:rPr>
          <w:t>49</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38" w:history="1">
        <w:r>
          <w:rPr>
            <w:rStyle w:val="Hyperlink"/>
            <w:noProof/>
          </w:rPr>
          <w:t>Figure 4</w:t>
        </w:r>
        <w:r>
          <w:rPr>
            <w:rStyle w:val="Hyperlink"/>
            <w:noProof/>
          </w:rPr>
          <w:noBreakHyphen/>
          <w:t>9: Dishwashers – price range of available models</w:t>
        </w:r>
        <w:r>
          <w:rPr>
            <w:noProof/>
            <w:webHidden/>
          </w:rPr>
          <w:tab/>
        </w:r>
        <w:r>
          <w:rPr>
            <w:noProof/>
            <w:webHidden/>
          </w:rPr>
          <w:fldChar w:fldCharType="begin"/>
        </w:r>
        <w:r>
          <w:rPr>
            <w:noProof/>
            <w:webHidden/>
          </w:rPr>
          <w:instrText xml:space="preserve"> PAGEREF _Toc199933838 \h </w:instrText>
        </w:r>
        <w:r w:rsidR="00D87CE9">
          <w:rPr>
            <w:noProof/>
          </w:rPr>
        </w:r>
        <w:r>
          <w:rPr>
            <w:noProof/>
            <w:webHidden/>
          </w:rPr>
          <w:fldChar w:fldCharType="separate"/>
        </w:r>
        <w:r>
          <w:rPr>
            <w:noProof/>
            <w:webHidden/>
          </w:rPr>
          <w:t>50</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39" w:history="1">
        <w:r>
          <w:rPr>
            <w:rStyle w:val="Hyperlink"/>
            <w:noProof/>
          </w:rPr>
          <w:t>Figure 4</w:t>
        </w:r>
        <w:r>
          <w:rPr>
            <w:rStyle w:val="Hyperlink"/>
            <w:noProof/>
          </w:rPr>
          <w:noBreakHyphen/>
          <w:t>10: Washing machines  – capacity of available models by star rating</w:t>
        </w:r>
        <w:r>
          <w:rPr>
            <w:noProof/>
            <w:webHidden/>
          </w:rPr>
          <w:tab/>
        </w:r>
        <w:r>
          <w:rPr>
            <w:noProof/>
            <w:webHidden/>
          </w:rPr>
          <w:fldChar w:fldCharType="begin"/>
        </w:r>
        <w:r>
          <w:rPr>
            <w:noProof/>
            <w:webHidden/>
          </w:rPr>
          <w:instrText xml:space="preserve"> PAGEREF _To</w:instrText>
        </w:r>
        <w:r>
          <w:rPr>
            <w:noProof/>
            <w:webHidden/>
          </w:rPr>
          <w:instrText xml:space="preserve">c199933839 \h </w:instrText>
        </w:r>
        <w:r w:rsidR="00D87CE9">
          <w:rPr>
            <w:noProof/>
          </w:rPr>
        </w:r>
        <w:r>
          <w:rPr>
            <w:noProof/>
            <w:webHidden/>
          </w:rPr>
          <w:fldChar w:fldCharType="separate"/>
        </w:r>
        <w:r>
          <w:rPr>
            <w:noProof/>
            <w:webHidden/>
          </w:rPr>
          <w:t>50</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40" w:history="1">
        <w:r>
          <w:rPr>
            <w:rStyle w:val="Hyperlink"/>
            <w:noProof/>
          </w:rPr>
          <w:t>Figure 4</w:t>
        </w:r>
        <w:r>
          <w:rPr>
            <w:rStyle w:val="Hyperlink"/>
            <w:noProof/>
          </w:rPr>
          <w:noBreakHyphen/>
          <w:t>11: Washing machines  – capacity of available models by price</w:t>
        </w:r>
        <w:r>
          <w:rPr>
            <w:noProof/>
            <w:webHidden/>
          </w:rPr>
          <w:tab/>
        </w:r>
        <w:r>
          <w:rPr>
            <w:noProof/>
            <w:webHidden/>
          </w:rPr>
          <w:fldChar w:fldCharType="begin"/>
        </w:r>
        <w:r>
          <w:rPr>
            <w:noProof/>
            <w:webHidden/>
          </w:rPr>
          <w:instrText xml:space="preserve"> PAGEREF _Toc199933840 \h </w:instrText>
        </w:r>
        <w:r w:rsidR="00D87CE9">
          <w:rPr>
            <w:noProof/>
          </w:rPr>
        </w:r>
        <w:r>
          <w:rPr>
            <w:noProof/>
            <w:webHidden/>
          </w:rPr>
          <w:fldChar w:fldCharType="separate"/>
        </w:r>
        <w:r>
          <w:rPr>
            <w:noProof/>
            <w:webHidden/>
          </w:rPr>
          <w:t>50</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41" w:history="1">
        <w:r>
          <w:rPr>
            <w:rStyle w:val="Hyperlink"/>
            <w:noProof/>
          </w:rPr>
          <w:t>Figure 4</w:t>
        </w:r>
        <w:r>
          <w:rPr>
            <w:rStyle w:val="Hyperlink"/>
            <w:noProof/>
          </w:rPr>
          <w:noBreakHyphen/>
          <w:t>12: Washing machines  – historical trends in average prices of models sold</w:t>
        </w:r>
        <w:r>
          <w:rPr>
            <w:noProof/>
            <w:webHidden/>
          </w:rPr>
          <w:tab/>
        </w:r>
        <w:r>
          <w:rPr>
            <w:noProof/>
            <w:webHidden/>
          </w:rPr>
          <w:fldChar w:fldCharType="begin"/>
        </w:r>
        <w:r>
          <w:rPr>
            <w:noProof/>
            <w:webHidden/>
          </w:rPr>
          <w:instrText xml:space="preserve"> PAGEREF _Toc199933841 \h </w:instrText>
        </w:r>
        <w:r w:rsidR="00D87CE9">
          <w:rPr>
            <w:noProof/>
          </w:rPr>
        </w:r>
        <w:r>
          <w:rPr>
            <w:noProof/>
            <w:webHidden/>
          </w:rPr>
          <w:fldChar w:fldCharType="separate"/>
        </w:r>
        <w:r>
          <w:rPr>
            <w:noProof/>
            <w:webHidden/>
          </w:rPr>
          <w:t>51</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42" w:history="1">
        <w:r>
          <w:rPr>
            <w:rStyle w:val="Hyperlink"/>
            <w:noProof/>
          </w:rPr>
          <w:t>Figure 4</w:t>
        </w:r>
        <w:r>
          <w:rPr>
            <w:rStyle w:val="Hyperlink"/>
            <w:noProof/>
          </w:rPr>
          <w:noBreakHyphen/>
          <w:t>13: Washing machines  – trends in proportion of top-loaders and front-loaders sold</w:t>
        </w:r>
        <w:r>
          <w:rPr>
            <w:noProof/>
            <w:webHidden/>
          </w:rPr>
          <w:tab/>
        </w:r>
        <w:r>
          <w:rPr>
            <w:noProof/>
            <w:webHidden/>
          </w:rPr>
          <w:fldChar w:fldCharType="begin"/>
        </w:r>
        <w:r>
          <w:rPr>
            <w:noProof/>
            <w:webHidden/>
          </w:rPr>
          <w:instrText xml:space="preserve"> PAGEREF _Toc199933842 \h </w:instrText>
        </w:r>
        <w:r w:rsidR="00D87CE9">
          <w:rPr>
            <w:noProof/>
          </w:rPr>
        </w:r>
        <w:r>
          <w:rPr>
            <w:noProof/>
            <w:webHidden/>
          </w:rPr>
          <w:fldChar w:fldCharType="separate"/>
        </w:r>
        <w:r>
          <w:rPr>
            <w:noProof/>
            <w:webHidden/>
          </w:rPr>
          <w:t>51</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43" w:history="1">
        <w:r>
          <w:rPr>
            <w:rStyle w:val="Hyperlink"/>
            <w:noProof/>
          </w:rPr>
          <w:t>Figure 4</w:t>
        </w:r>
        <w:r>
          <w:rPr>
            <w:rStyle w:val="Hyperlink"/>
            <w:noProof/>
          </w:rPr>
          <w:noBreakHyphen/>
          <w:t>14: NPV of avoided water costs (consumers’ bills) due to WELS</w:t>
        </w:r>
        <w:r>
          <w:rPr>
            <w:noProof/>
            <w:webHidden/>
          </w:rPr>
          <w:tab/>
        </w:r>
        <w:r>
          <w:rPr>
            <w:noProof/>
            <w:webHidden/>
          </w:rPr>
          <w:fldChar w:fldCharType="begin"/>
        </w:r>
        <w:r>
          <w:rPr>
            <w:noProof/>
            <w:webHidden/>
          </w:rPr>
          <w:instrText xml:space="preserve"> PAGEREF _Toc199933843 \h </w:instrText>
        </w:r>
        <w:r w:rsidR="00D87CE9">
          <w:rPr>
            <w:noProof/>
          </w:rPr>
        </w:r>
        <w:r>
          <w:rPr>
            <w:noProof/>
            <w:webHidden/>
          </w:rPr>
          <w:fldChar w:fldCharType="separate"/>
        </w:r>
        <w:r>
          <w:rPr>
            <w:noProof/>
            <w:webHidden/>
          </w:rPr>
          <w:t>52</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44" w:history="1">
        <w:r>
          <w:rPr>
            <w:rStyle w:val="Hyperlink"/>
            <w:noProof/>
          </w:rPr>
          <w:t>Figure 4</w:t>
        </w:r>
        <w:r>
          <w:rPr>
            <w:rStyle w:val="Hyperlink"/>
            <w:noProof/>
          </w:rPr>
          <w:noBreakHyphen/>
          <w:t>15 Total energy savings by product type</w:t>
        </w:r>
        <w:r>
          <w:rPr>
            <w:noProof/>
            <w:webHidden/>
          </w:rPr>
          <w:tab/>
        </w:r>
        <w:r>
          <w:rPr>
            <w:noProof/>
            <w:webHidden/>
          </w:rPr>
          <w:fldChar w:fldCharType="begin"/>
        </w:r>
        <w:r>
          <w:rPr>
            <w:noProof/>
            <w:webHidden/>
          </w:rPr>
          <w:instrText xml:space="preserve"> PAGEREF _Toc199933844 \h </w:instrText>
        </w:r>
        <w:r w:rsidR="00D87CE9">
          <w:rPr>
            <w:noProof/>
          </w:rPr>
        </w:r>
        <w:r>
          <w:rPr>
            <w:noProof/>
            <w:webHidden/>
          </w:rPr>
          <w:fldChar w:fldCharType="separate"/>
        </w:r>
        <w:r>
          <w:rPr>
            <w:noProof/>
            <w:webHidden/>
          </w:rPr>
          <w:t>54</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45" w:history="1">
        <w:r>
          <w:rPr>
            <w:rStyle w:val="Hyperlink"/>
            <w:noProof/>
          </w:rPr>
          <w:t>Figure 4</w:t>
        </w:r>
        <w:r>
          <w:rPr>
            <w:rStyle w:val="Hyperlink"/>
            <w:noProof/>
          </w:rPr>
          <w:noBreakHyphen/>
          <w:t>16: NPV of energy bill savings (consumers’ avoided water heating) due to WELS 2005-06 to 2020-21</w:t>
        </w:r>
        <w:r>
          <w:rPr>
            <w:noProof/>
            <w:webHidden/>
          </w:rPr>
          <w:tab/>
        </w:r>
        <w:r>
          <w:rPr>
            <w:noProof/>
            <w:webHidden/>
          </w:rPr>
          <w:fldChar w:fldCharType="begin"/>
        </w:r>
        <w:r>
          <w:rPr>
            <w:noProof/>
            <w:webHidden/>
          </w:rPr>
          <w:instrText xml:space="preserve"> PAGEREF _Toc199933845 \h </w:instrText>
        </w:r>
        <w:r w:rsidR="00D87CE9">
          <w:rPr>
            <w:noProof/>
          </w:rPr>
        </w:r>
        <w:r>
          <w:rPr>
            <w:noProof/>
            <w:webHidden/>
          </w:rPr>
          <w:fldChar w:fldCharType="separate"/>
        </w:r>
        <w:r>
          <w:rPr>
            <w:noProof/>
            <w:webHidden/>
          </w:rPr>
          <w:t>56</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46" w:history="1">
        <w:r>
          <w:rPr>
            <w:rStyle w:val="Hyperlink"/>
            <w:noProof/>
          </w:rPr>
          <w:t>Figure 4</w:t>
        </w:r>
        <w:r>
          <w:rPr>
            <w:rStyle w:val="Hyperlink"/>
            <w:noProof/>
          </w:rPr>
          <w:noBreakHyphen/>
          <w:t>17: NPV of avoided energy costs (avoided pumping and treatment) due to WELS 20</w:t>
        </w:r>
        <w:r>
          <w:rPr>
            <w:rStyle w:val="Hyperlink"/>
            <w:noProof/>
          </w:rPr>
          <w:t>05-06 to 2020-21</w:t>
        </w:r>
        <w:r>
          <w:rPr>
            <w:noProof/>
            <w:webHidden/>
          </w:rPr>
          <w:tab/>
        </w:r>
        <w:r>
          <w:rPr>
            <w:noProof/>
            <w:webHidden/>
          </w:rPr>
          <w:fldChar w:fldCharType="begin"/>
        </w:r>
        <w:r>
          <w:rPr>
            <w:noProof/>
            <w:webHidden/>
          </w:rPr>
          <w:instrText xml:space="preserve"> PAGEREF _Toc199933846 \h </w:instrText>
        </w:r>
        <w:r w:rsidR="00D87CE9">
          <w:rPr>
            <w:noProof/>
          </w:rPr>
        </w:r>
        <w:r>
          <w:rPr>
            <w:noProof/>
            <w:webHidden/>
          </w:rPr>
          <w:fldChar w:fldCharType="separate"/>
        </w:r>
        <w:r>
          <w:rPr>
            <w:noProof/>
            <w:webHidden/>
          </w:rPr>
          <w:t>57</w:t>
        </w:r>
        <w:r>
          <w:rPr>
            <w:noProof/>
            <w:webHidden/>
          </w:rPr>
          <w:fldChar w:fldCharType="end"/>
        </w:r>
      </w:hyperlink>
    </w:p>
    <w:p w:rsidR="00000000" w:rsidRDefault="00D35856">
      <w:pPr>
        <w:pStyle w:val="TableofFigures"/>
        <w:tabs>
          <w:tab w:val="right" w:leader="dot" w:pos="8487"/>
        </w:tabs>
        <w:rPr>
          <w:rFonts w:ascii="Times New Roman" w:hAnsi="Times New Roman"/>
          <w:smallCaps w:val="0"/>
          <w:noProof/>
          <w:sz w:val="24"/>
          <w:lang w:val="en-US"/>
        </w:rPr>
      </w:pPr>
      <w:hyperlink w:anchor="_Toc199933847" w:history="1">
        <w:r>
          <w:rPr>
            <w:rStyle w:val="Hyperlink"/>
            <w:noProof/>
          </w:rPr>
          <w:t>Figure 4</w:t>
        </w:r>
        <w:r>
          <w:rPr>
            <w:rStyle w:val="Hyperlink"/>
            <w:noProof/>
          </w:rPr>
          <w:noBreakHyphen/>
          <w:t>18: Total value of avoided greenho</w:t>
        </w:r>
        <w:r>
          <w:rPr>
            <w:rStyle w:val="Hyperlink"/>
            <w:noProof/>
          </w:rPr>
          <w:t>use gas emissions due to WELS</w:t>
        </w:r>
        <w:r>
          <w:rPr>
            <w:noProof/>
            <w:webHidden/>
          </w:rPr>
          <w:tab/>
        </w:r>
        <w:r>
          <w:rPr>
            <w:noProof/>
            <w:webHidden/>
          </w:rPr>
          <w:fldChar w:fldCharType="begin"/>
        </w:r>
        <w:r>
          <w:rPr>
            <w:noProof/>
            <w:webHidden/>
          </w:rPr>
          <w:instrText xml:space="preserve"> PAGEREF _Toc199933847 \h </w:instrText>
        </w:r>
        <w:r w:rsidR="00D87CE9">
          <w:rPr>
            <w:noProof/>
          </w:rPr>
        </w:r>
        <w:r>
          <w:rPr>
            <w:noProof/>
            <w:webHidden/>
          </w:rPr>
          <w:fldChar w:fldCharType="separate"/>
        </w:r>
        <w:r>
          <w:rPr>
            <w:noProof/>
            <w:webHidden/>
          </w:rPr>
          <w:t>58</w:t>
        </w:r>
        <w:r>
          <w:rPr>
            <w:noProof/>
            <w:webHidden/>
          </w:rPr>
          <w:fldChar w:fldCharType="end"/>
        </w:r>
      </w:hyperlink>
    </w:p>
    <w:p w:rsidR="00000000" w:rsidRDefault="00D35856">
      <w:r>
        <w:rPr>
          <w:smallCaps/>
          <w:sz w:val="24"/>
        </w:rPr>
        <w:fldChar w:fldCharType="end"/>
      </w:r>
    </w:p>
    <w:p w:rsidR="00000000" w:rsidRDefault="00D35856">
      <w:pPr>
        <w:keepNext w:val="0"/>
        <w:sectPr w:rsidR="00000000">
          <w:headerReference w:type="even" r:id="rId12"/>
          <w:headerReference w:type="default" r:id="rId13"/>
          <w:headerReference w:type="first" r:id="rId14"/>
          <w:footerReference w:type="first" r:id="rId15"/>
          <w:pgSz w:w="11899" w:h="16838" w:code="9"/>
          <w:pgMar w:top="1361" w:right="1701" w:bottom="1361" w:left="1701" w:header="680" w:footer="420" w:gutter="0"/>
          <w:pgNumType w:fmt="lowerRoman"/>
          <w:cols w:space="720"/>
          <w:titlePg/>
        </w:sectPr>
      </w:pPr>
    </w:p>
    <w:p w:rsidR="00000000" w:rsidRDefault="00D35856">
      <w:pPr>
        <w:pStyle w:val="Headingother"/>
        <w:rPr>
          <w:color w:val="auto"/>
        </w:rPr>
      </w:pPr>
      <w:bookmarkStart w:id="7" w:name="_Toc528645966"/>
      <w:bookmarkStart w:id="8" w:name="_Toc407164259"/>
      <w:bookmarkStart w:id="9" w:name="_Toc410292187"/>
      <w:bookmarkStart w:id="10" w:name="_Toc45079426"/>
      <w:r>
        <w:rPr>
          <w:color w:val="auto"/>
        </w:rPr>
        <w:lastRenderedPageBreak/>
        <w:t>Abbreviations</w:t>
      </w:r>
      <w:bookmarkEnd w:id="7"/>
      <w:bookmarkEnd w:id="8"/>
      <w:bookmarkEnd w:id="9"/>
      <w:bookmarkEnd w:id="10"/>
    </w:p>
    <w:tbl>
      <w:tblPr>
        <w:tblW w:w="0" w:type="auto"/>
        <w:tblInd w:w="108" w:type="dxa"/>
        <w:tblCellMar>
          <w:left w:w="57" w:type="dxa"/>
          <w:right w:w="57" w:type="dxa"/>
        </w:tblCellMar>
        <w:tblLook w:val="0000"/>
      </w:tblPr>
      <w:tblGrid>
        <w:gridCol w:w="1382"/>
        <w:gridCol w:w="7121"/>
      </w:tblGrid>
      <w:tr w:rsidR="00000000">
        <w:tblPrEx>
          <w:tblCellMar>
            <w:top w:w="0" w:type="dxa"/>
            <w:bottom w:w="0" w:type="dxa"/>
          </w:tblCellMar>
        </w:tblPrEx>
        <w:tc>
          <w:tcPr>
            <w:tcW w:w="1418" w:type="dxa"/>
          </w:tcPr>
          <w:p w:rsidR="00000000" w:rsidRDefault="00D35856">
            <w:pPr>
              <w:keepNext w:val="0"/>
            </w:pPr>
            <w:r>
              <w:t>AS/NZS</w:t>
            </w:r>
          </w:p>
        </w:tc>
        <w:tc>
          <w:tcPr>
            <w:tcW w:w="7654" w:type="dxa"/>
          </w:tcPr>
          <w:p w:rsidR="00000000" w:rsidRDefault="00D35856">
            <w:pPr>
              <w:keepNext w:val="0"/>
            </w:pPr>
            <w:r>
              <w:t xml:space="preserve">Australian Standard / </w:t>
            </w:r>
            <w:smartTag w:uri="urn:schemas-microsoft-com:office:smarttags" w:element="City">
              <w:r>
                <w:t>New Zealand</w:t>
              </w:r>
            </w:smartTag>
            <w:r>
              <w:t xml:space="preserve"> Standard</w:t>
            </w:r>
          </w:p>
        </w:tc>
      </w:tr>
      <w:tr w:rsidR="00000000">
        <w:tblPrEx>
          <w:tblCellMar>
            <w:top w:w="0" w:type="dxa"/>
            <w:bottom w:w="0" w:type="dxa"/>
          </w:tblCellMar>
        </w:tblPrEx>
        <w:tc>
          <w:tcPr>
            <w:tcW w:w="1418" w:type="dxa"/>
          </w:tcPr>
          <w:p w:rsidR="00000000" w:rsidRDefault="00D35856">
            <w:pPr>
              <w:keepNext w:val="0"/>
            </w:pPr>
            <w:r>
              <w:t>ASL</w:t>
            </w:r>
          </w:p>
        </w:tc>
        <w:tc>
          <w:tcPr>
            <w:tcW w:w="7654" w:type="dxa"/>
          </w:tcPr>
          <w:p w:rsidR="00000000" w:rsidRDefault="00D35856">
            <w:pPr>
              <w:keepNext w:val="0"/>
            </w:pPr>
            <w:r>
              <w:t>Average staffing level</w:t>
            </w:r>
          </w:p>
        </w:tc>
      </w:tr>
      <w:tr w:rsidR="00000000">
        <w:tblPrEx>
          <w:tblCellMar>
            <w:top w:w="0" w:type="dxa"/>
            <w:bottom w:w="0" w:type="dxa"/>
          </w:tblCellMar>
        </w:tblPrEx>
        <w:tc>
          <w:tcPr>
            <w:tcW w:w="1418" w:type="dxa"/>
          </w:tcPr>
          <w:p w:rsidR="00000000" w:rsidRDefault="00D35856">
            <w:pPr>
              <w:keepNext w:val="0"/>
            </w:pPr>
            <w:r>
              <w:t>CWM</w:t>
            </w:r>
          </w:p>
        </w:tc>
        <w:tc>
          <w:tcPr>
            <w:tcW w:w="7654" w:type="dxa"/>
          </w:tcPr>
          <w:p w:rsidR="00000000" w:rsidRDefault="00D35856">
            <w:pPr>
              <w:keepNext w:val="0"/>
            </w:pPr>
            <w:r>
              <w:t>Clothes washing machine</w:t>
            </w:r>
          </w:p>
        </w:tc>
      </w:tr>
      <w:tr w:rsidR="00000000">
        <w:tblPrEx>
          <w:tblCellMar>
            <w:top w:w="0" w:type="dxa"/>
            <w:bottom w:w="0" w:type="dxa"/>
          </w:tblCellMar>
        </w:tblPrEx>
        <w:tc>
          <w:tcPr>
            <w:tcW w:w="1418" w:type="dxa"/>
          </w:tcPr>
          <w:p w:rsidR="00000000" w:rsidRDefault="00D35856">
            <w:pPr>
              <w:keepNext w:val="0"/>
            </w:pPr>
            <w:r>
              <w:t>DEWHA (DEW)</w:t>
            </w:r>
          </w:p>
        </w:tc>
        <w:tc>
          <w:tcPr>
            <w:tcW w:w="7654" w:type="dxa"/>
          </w:tcPr>
          <w:p w:rsidR="00000000" w:rsidRDefault="00D35856">
            <w:pPr>
              <w:keepNext w:val="0"/>
            </w:pPr>
            <w:r>
              <w:t>Department of Environment Water Heritage and the Arts (formerly Department of Environment and Water)</w:t>
            </w:r>
          </w:p>
        </w:tc>
      </w:tr>
      <w:tr w:rsidR="00000000">
        <w:tblPrEx>
          <w:tblCellMar>
            <w:top w:w="0" w:type="dxa"/>
            <w:bottom w:w="0" w:type="dxa"/>
          </w:tblCellMar>
        </w:tblPrEx>
        <w:tc>
          <w:tcPr>
            <w:tcW w:w="1418" w:type="dxa"/>
          </w:tcPr>
          <w:p w:rsidR="00000000" w:rsidRDefault="00D35856">
            <w:pPr>
              <w:keepNext w:val="0"/>
            </w:pPr>
            <w:r>
              <w:t>DWM</w:t>
            </w:r>
          </w:p>
        </w:tc>
        <w:tc>
          <w:tcPr>
            <w:tcW w:w="7654" w:type="dxa"/>
          </w:tcPr>
          <w:p w:rsidR="00000000" w:rsidRDefault="00D35856">
            <w:pPr>
              <w:keepNext w:val="0"/>
            </w:pPr>
            <w:r>
              <w:t>Dish washing machine</w:t>
            </w:r>
          </w:p>
        </w:tc>
      </w:tr>
      <w:tr w:rsidR="00000000">
        <w:tblPrEx>
          <w:tblCellMar>
            <w:top w:w="0" w:type="dxa"/>
            <w:bottom w:w="0" w:type="dxa"/>
          </w:tblCellMar>
        </w:tblPrEx>
        <w:tc>
          <w:tcPr>
            <w:tcW w:w="1418" w:type="dxa"/>
          </w:tcPr>
          <w:p w:rsidR="00000000" w:rsidRDefault="00D35856">
            <w:pPr>
              <w:keepNext w:val="0"/>
            </w:pPr>
            <w:r>
              <w:t>FC</w:t>
            </w:r>
          </w:p>
        </w:tc>
        <w:tc>
          <w:tcPr>
            <w:tcW w:w="7654" w:type="dxa"/>
          </w:tcPr>
          <w:p w:rsidR="00000000" w:rsidRDefault="00D35856">
            <w:pPr>
              <w:keepNext w:val="0"/>
            </w:pPr>
            <w:r>
              <w:t>Flow controller</w:t>
            </w:r>
          </w:p>
        </w:tc>
      </w:tr>
      <w:tr w:rsidR="00000000">
        <w:tblPrEx>
          <w:tblCellMar>
            <w:top w:w="0" w:type="dxa"/>
            <w:bottom w:w="0" w:type="dxa"/>
          </w:tblCellMar>
        </w:tblPrEx>
        <w:tc>
          <w:tcPr>
            <w:tcW w:w="1418" w:type="dxa"/>
          </w:tcPr>
          <w:p w:rsidR="00000000" w:rsidRDefault="00D35856">
            <w:pPr>
              <w:keepNext w:val="0"/>
            </w:pPr>
            <w:r>
              <w:t>GL</w:t>
            </w:r>
          </w:p>
        </w:tc>
        <w:tc>
          <w:tcPr>
            <w:tcW w:w="7654" w:type="dxa"/>
          </w:tcPr>
          <w:p w:rsidR="00000000" w:rsidRDefault="00D35856">
            <w:pPr>
              <w:keepNext w:val="0"/>
            </w:pPr>
            <w:r>
              <w:t>gigalitres</w:t>
            </w:r>
          </w:p>
        </w:tc>
      </w:tr>
      <w:tr w:rsidR="00000000">
        <w:tblPrEx>
          <w:tblCellMar>
            <w:top w:w="0" w:type="dxa"/>
            <w:bottom w:w="0" w:type="dxa"/>
          </w:tblCellMar>
        </w:tblPrEx>
        <w:tc>
          <w:tcPr>
            <w:tcW w:w="1418" w:type="dxa"/>
          </w:tcPr>
          <w:p w:rsidR="00000000" w:rsidRDefault="00D35856">
            <w:pPr>
              <w:keepNext w:val="0"/>
            </w:pPr>
            <w:r>
              <w:t>GWh</w:t>
            </w:r>
          </w:p>
        </w:tc>
        <w:tc>
          <w:tcPr>
            <w:tcW w:w="7654" w:type="dxa"/>
          </w:tcPr>
          <w:p w:rsidR="00000000" w:rsidRDefault="00D35856">
            <w:pPr>
              <w:keepNext w:val="0"/>
            </w:pPr>
            <w:r>
              <w:t>Gigawatt hours</w:t>
            </w:r>
          </w:p>
        </w:tc>
      </w:tr>
      <w:tr w:rsidR="00000000">
        <w:tblPrEx>
          <w:tblCellMar>
            <w:top w:w="0" w:type="dxa"/>
            <w:bottom w:w="0" w:type="dxa"/>
          </w:tblCellMar>
        </w:tblPrEx>
        <w:tc>
          <w:tcPr>
            <w:tcW w:w="1418" w:type="dxa"/>
          </w:tcPr>
          <w:p w:rsidR="00000000" w:rsidRDefault="00D35856">
            <w:pPr>
              <w:keepNext w:val="0"/>
            </w:pPr>
            <w:r>
              <w:t>ISF</w:t>
            </w:r>
          </w:p>
        </w:tc>
        <w:tc>
          <w:tcPr>
            <w:tcW w:w="7654" w:type="dxa"/>
          </w:tcPr>
          <w:p w:rsidR="00000000" w:rsidRDefault="00D35856">
            <w:pPr>
              <w:keepNext w:val="0"/>
            </w:pPr>
            <w:r>
              <w:t>Institute for Sustainable Futures</w:t>
            </w:r>
          </w:p>
        </w:tc>
      </w:tr>
      <w:tr w:rsidR="00000000">
        <w:tblPrEx>
          <w:tblCellMar>
            <w:top w:w="0" w:type="dxa"/>
            <w:bottom w:w="0" w:type="dxa"/>
          </w:tblCellMar>
        </w:tblPrEx>
        <w:tc>
          <w:tcPr>
            <w:tcW w:w="1418" w:type="dxa"/>
          </w:tcPr>
          <w:p w:rsidR="00000000" w:rsidRDefault="00D35856">
            <w:pPr>
              <w:keepNext w:val="0"/>
            </w:pPr>
            <w:r>
              <w:t>kL</w:t>
            </w:r>
          </w:p>
        </w:tc>
        <w:tc>
          <w:tcPr>
            <w:tcW w:w="7654" w:type="dxa"/>
          </w:tcPr>
          <w:p w:rsidR="00000000" w:rsidRDefault="00D35856">
            <w:pPr>
              <w:keepNext w:val="0"/>
            </w:pPr>
            <w:r>
              <w:t>kilolitres</w:t>
            </w:r>
          </w:p>
        </w:tc>
      </w:tr>
      <w:tr w:rsidR="00000000">
        <w:tblPrEx>
          <w:tblCellMar>
            <w:top w:w="0" w:type="dxa"/>
            <w:bottom w:w="0" w:type="dxa"/>
          </w:tblCellMar>
        </w:tblPrEx>
        <w:tc>
          <w:tcPr>
            <w:tcW w:w="1418" w:type="dxa"/>
          </w:tcPr>
          <w:p w:rsidR="00000000" w:rsidRDefault="00D35856">
            <w:pPr>
              <w:keepNext w:val="0"/>
            </w:pPr>
            <w:r>
              <w:t>kWh</w:t>
            </w:r>
          </w:p>
        </w:tc>
        <w:tc>
          <w:tcPr>
            <w:tcW w:w="7654" w:type="dxa"/>
          </w:tcPr>
          <w:p w:rsidR="00000000" w:rsidRDefault="00D35856">
            <w:pPr>
              <w:keepNext w:val="0"/>
            </w:pPr>
            <w:r>
              <w:t>kilowatt hours</w:t>
            </w:r>
          </w:p>
        </w:tc>
      </w:tr>
      <w:tr w:rsidR="00000000">
        <w:tblPrEx>
          <w:tblCellMar>
            <w:top w:w="0" w:type="dxa"/>
            <w:bottom w:w="0" w:type="dxa"/>
          </w:tblCellMar>
        </w:tblPrEx>
        <w:tc>
          <w:tcPr>
            <w:tcW w:w="1418" w:type="dxa"/>
          </w:tcPr>
          <w:p w:rsidR="00000000" w:rsidRDefault="00D35856">
            <w:pPr>
              <w:keepNext w:val="0"/>
            </w:pPr>
            <w:r>
              <w:t>LE</w:t>
            </w:r>
          </w:p>
        </w:tc>
        <w:tc>
          <w:tcPr>
            <w:tcW w:w="7654" w:type="dxa"/>
          </w:tcPr>
          <w:p w:rsidR="00000000" w:rsidRDefault="00D35856">
            <w:pPr>
              <w:keepNext w:val="0"/>
            </w:pPr>
            <w:r>
              <w:t>Lavatory Equipment</w:t>
            </w:r>
          </w:p>
        </w:tc>
      </w:tr>
      <w:tr w:rsidR="00000000">
        <w:tblPrEx>
          <w:tblCellMar>
            <w:top w:w="0" w:type="dxa"/>
            <w:bottom w:w="0" w:type="dxa"/>
          </w:tblCellMar>
        </w:tblPrEx>
        <w:tc>
          <w:tcPr>
            <w:tcW w:w="1418" w:type="dxa"/>
          </w:tcPr>
          <w:p w:rsidR="00000000" w:rsidRDefault="00D35856">
            <w:pPr>
              <w:keepNext w:val="0"/>
            </w:pPr>
            <w:r>
              <w:t>ML</w:t>
            </w:r>
          </w:p>
        </w:tc>
        <w:tc>
          <w:tcPr>
            <w:tcW w:w="7654" w:type="dxa"/>
          </w:tcPr>
          <w:p w:rsidR="00000000" w:rsidRDefault="00D35856">
            <w:pPr>
              <w:keepNext w:val="0"/>
            </w:pPr>
            <w:r>
              <w:t>megalitres</w:t>
            </w:r>
          </w:p>
        </w:tc>
      </w:tr>
      <w:tr w:rsidR="00000000">
        <w:tblPrEx>
          <w:tblCellMar>
            <w:top w:w="0" w:type="dxa"/>
            <w:bottom w:w="0" w:type="dxa"/>
          </w:tblCellMar>
        </w:tblPrEx>
        <w:tc>
          <w:tcPr>
            <w:tcW w:w="1418" w:type="dxa"/>
          </w:tcPr>
          <w:p w:rsidR="00000000" w:rsidRDefault="00D35856">
            <w:pPr>
              <w:keepNext w:val="0"/>
            </w:pPr>
            <w:r>
              <w:t>MWh</w:t>
            </w:r>
          </w:p>
        </w:tc>
        <w:tc>
          <w:tcPr>
            <w:tcW w:w="7654" w:type="dxa"/>
          </w:tcPr>
          <w:p w:rsidR="00000000" w:rsidRDefault="00D35856">
            <w:pPr>
              <w:keepNext w:val="0"/>
            </w:pPr>
            <w:r>
              <w:t>Megawatt hours</w:t>
            </w:r>
          </w:p>
        </w:tc>
      </w:tr>
      <w:tr w:rsidR="00000000">
        <w:tblPrEx>
          <w:tblCellMar>
            <w:top w:w="0" w:type="dxa"/>
            <w:bottom w:w="0" w:type="dxa"/>
          </w:tblCellMar>
        </w:tblPrEx>
        <w:tc>
          <w:tcPr>
            <w:tcW w:w="1418" w:type="dxa"/>
          </w:tcPr>
          <w:p w:rsidR="00000000" w:rsidRDefault="00D35856">
            <w:pPr>
              <w:keepNext w:val="0"/>
            </w:pPr>
            <w:r>
              <w:t>RIS</w:t>
            </w:r>
          </w:p>
        </w:tc>
        <w:tc>
          <w:tcPr>
            <w:tcW w:w="7654" w:type="dxa"/>
          </w:tcPr>
          <w:p w:rsidR="00000000" w:rsidRDefault="00D35856">
            <w:pPr>
              <w:keepNext w:val="0"/>
            </w:pPr>
            <w:r>
              <w:t>Regulatory Impact Statement</w:t>
            </w:r>
          </w:p>
        </w:tc>
      </w:tr>
      <w:tr w:rsidR="00000000">
        <w:tblPrEx>
          <w:tblCellMar>
            <w:top w:w="0" w:type="dxa"/>
            <w:bottom w:w="0" w:type="dxa"/>
          </w:tblCellMar>
        </w:tblPrEx>
        <w:tc>
          <w:tcPr>
            <w:tcW w:w="1418" w:type="dxa"/>
          </w:tcPr>
          <w:p w:rsidR="00000000" w:rsidRDefault="00D35856">
            <w:pPr>
              <w:keepNext w:val="0"/>
            </w:pPr>
            <w:r>
              <w:t>S</w:t>
            </w:r>
          </w:p>
        </w:tc>
        <w:tc>
          <w:tcPr>
            <w:tcW w:w="7654" w:type="dxa"/>
          </w:tcPr>
          <w:p w:rsidR="00000000" w:rsidRDefault="00D35856">
            <w:pPr>
              <w:keepNext w:val="0"/>
            </w:pPr>
            <w:r>
              <w:t>Showers</w:t>
            </w:r>
          </w:p>
        </w:tc>
      </w:tr>
      <w:tr w:rsidR="00000000">
        <w:tblPrEx>
          <w:tblCellMar>
            <w:top w:w="0" w:type="dxa"/>
            <w:bottom w:w="0" w:type="dxa"/>
          </w:tblCellMar>
        </w:tblPrEx>
        <w:tc>
          <w:tcPr>
            <w:tcW w:w="1418" w:type="dxa"/>
          </w:tcPr>
          <w:p w:rsidR="00000000" w:rsidRDefault="00D35856">
            <w:pPr>
              <w:keepNext w:val="0"/>
            </w:pPr>
            <w:r>
              <w:t>TE</w:t>
            </w:r>
          </w:p>
        </w:tc>
        <w:tc>
          <w:tcPr>
            <w:tcW w:w="7654" w:type="dxa"/>
          </w:tcPr>
          <w:p w:rsidR="00000000" w:rsidRDefault="00D35856">
            <w:pPr>
              <w:keepNext w:val="0"/>
            </w:pPr>
            <w:r>
              <w:t>Tap Equipment</w:t>
            </w:r>
          </w:p>
        </w:tc>
      </w:tr>
      <w:tr w:rsidR="00000000">
        <w:tblPrEx>
          <w:tblCellMar>
            <w:top w:w="0" w:type="dxa"/>
            <w:bottom w:w="0" w:type="dxa"/>
          </w:tblCellMar>
        </w:tblPrEx>
        <w:tc>
          <w:tcPr>
            <w:tcW w:w="1418" w:type="dxa"/>
          </w:tcPr>
          <w:p w:rsidR="00000000" w:rsidRDefault="00D35856">
            <w:pPr>
              <w:keepNext w:val="0"/>
            </w:pPr>
            <w:r>
              <w:t>UE</w:t>
            </w:r>
          </w:p>
        </w:tc>
        <w:tc>
          <w:tcPr>
            <w:tcW w:w="7654" w:type="dxa"/>
          </w:tcPr>
          <w:p w:rsidR="00000000" w:rsidRDefault="00D35856">
            <w:pPr>
              <w:keepNext w:val="0"/>
            </w:pPr>
            <w:r>
              <w:t>Urinal Equipment</w:t>
            </w:r>
          </w:p>
        </w:tc>
      </w:tr>
      <w:tr w:rsidR="00000000">
        <w:tblPrEx>
          <w:tblCellMar>
            <w:top w:w="0" w:type="dxa"/>
            <w:bottom w:w="0" w:type="dxa"/>
          </w:tblCellMar>
        </w:tblPrEx>
        <w:tc>
          <w:tcPr>
            <w:tcW w:w="1418" w:type="dxa"/>
          </w:tcPr>
          <w:p w:rsidR="00000000" w:rsidRDefault="00D35856">
            <w:pPr>
              <w:keepNext w:val="0"/>
            </w:pPr>
            <w:smartTag w:uri="urn:schemas-microsoft-com:office:smarttags" w:element="City">
              <w:r>
                <w:t>WELS</w:t>
              </w:r>
            </w:smartTag>
          </w:p>
        </w:tc>
        <w:tc>
          <w:tcPr>
            <w:tcW w:w="7654" w:type="dxa"/>
          </w:tcPr>
          <w:p w:rsidR="00000000" w:rsidRDefault="00D35856">
            <w:pPr>
              <w:keepNext w:val="0"/>
            </w:pPr>
            <w:r>
              <w:t>The Water Efficiency Labelling Scheme</w:t>
            </w:r>
          </w:p>
        </w:tc>
      </w:tr>
    </w:tbl>
    <w:p w:rsidR="00000000" w:rsidRDefault="00D35856">
      <w:pPr>
        <w:keepNext w:val="0"/>
      </w:pPr>
    </w:p>
    <w:p w:rsidR="00000000" w:rsidRDefault="00D35856">
      <w:pPr>
        <w:keepNext w:val="0"/>
      </w:pPr>
    </w:p>
    <w:p w:rsidR="00000000" w:rsidRDefault="00D35856">
      <w:pPr>
        <w:keepNext w:val="0"/>
        <w:sectPr w:rsidR="00000000">
          <w:headerReference w:type="even" r:id="rId16"/>
          <w:headerReference w:type="default" r:id="rId17"/>
          <w:headerReference w:type="first" r:id="rId18"/>
          <w:pgSz w:w="11899" w:h="16838"/>
          <w:pgMar w:top="1361" w:right="1701" w:bottom="1361" w:left="1701" w:header="680" w:footer="420" w:gutter="0"/>
          <w:pgNumType w:fmt="lowerRoman"/>
          <w:cols w:space="708"/>
        </w:sectPr>
      </w:pPr>
    </w:p>
    <w:p w:rsidR="00000000" w:rsidRDefault="00D35856">
      <w:pPr>
        <w:pStyle w:val="Heading1"/>
        <w:numPr>
          <w:ilvl w:val="0"/>
          <w:numId w:val="3"/>
        </w:numPr>
        <w:tabs>
          <w:tab w:val="clear" w:pos="1152"/>
        </w:tabs>
        <w:ind w:left="567" w:hanging="567"/>
        <w:rPr>
          <w:color w:val="auto"/>
        </w:rPr>
      </w:pPr>
      <w:bookmarkStart w:id="11" w:name="_Toc410292188"/>
      <w:bookmarkStart w:id="12" w:name="_Toc45079427"/>
      <w:bookmarkStart w:id="13" w:name="_Toc199933721"/>
      <w:r>
        <w:rPr>
          <w:color w:val="auto"/>
        </w:rPr>
        <w:lastRenderedPageBreak/>
        <w:t>Introduction</w:t>
      </w:r>
      <w:bookmarkEnd w:id="11"/>
      <w:bookmarkEnd w:id="12"/>
      <w:bookmarkEnd w:id="13"/>
      <w:r>
        <w:rPr>
          <w:color w:val="auto"/>
        </w:rPr>
        <w:t xml:space="preserve"> </w:t>
      </w:r>
    </w:p>
    <w:p w:rsidR="00000000" w:rsidRDefault="00D35856">
      <w:pPr>
        <w:keepNext w:val="0"/>
      </w:pPr>
      <w:r>
        <w:t>In respo</w:t>
      </w:r>
      <w:r>
        <w:t xml:space="preserve">nse to the recent and ongoing drought across many parts of </w:t>
      </w:r>
      <w:smartTag w:uri="urn:schemas-microsoft-com:office:smarttags" w:element="City">
        <w:r>
          <w:t>Australia</w:t>
        </w:r>
      </w:smartTag>
      <w:r>
        <w:t>, the water industry and government agencies have focussed efforts on implementing measures to address water scarcity. In this context, the Water Efficiency Labelling and Standards</w:t>
      </w:r>
      <w:r>
        <w:t xml:space="preserve"> Scheme (WELS) has the potential to cost-effectively contribute to ensuring water security for Australian cities and towns. By providing information to enable consumers to compare models on the basis of relative (and absolute) water efficiency, </w:t>
      </w:r>
      <w:smartTag w:uri="urn:schemas-microsoft-com:office:smarttags" w:element="City">
        <w:r>
          <w:t>WEL</w:t>
        </w:r>
        <w:r>
          <w:t>S</w:t>
        </w:r>
      </w:smartTag>
      <w:r>
        <w:t xml:space="preserve"> influences the choice of models installed, and hence the water consumed in their use. It has also been argued that at least some of the water savings achieved by those demand management programs that are linked to mandatory labelling (such as some rebate</w:t>
      </w:r>
      <w:r>
        <w:t xml:space="preserve"> schemes and building regulations) are attributable to </w:t>
      </w:r>
      <w:smartTag w:uri="urn:schemas-microsoft-com:office:smarttags" w:element="City">
        <w:r>
          <w:t>WELS</w:t>
        </w:r>
      </w:smartTag>
      <w:r>
        <w:t>.</w:t>
      </w:r>
    </w:p>
    <w:p w:rsidR="00000000" w:rsidRDefault="00D35856">
      <w:pPr>
        <w:keepNext w:val="0"/>
      </w:pPr>
      <w:r>
        <w:t xml:space="preserve">The Australian Government Department of the Environment and Water Resources (DEW) commissioned the Institute for Sustainable Futures to analyse the cost-effectiveness of </w:t>
      </w:r>
      <w:smartTag w:uri="urn:schemas-microsoft-com:office:smarttags" w:element="City">
        <w:r>
          <w:t>WELS</w:t>
        </w:r>
      </w:smartTag>
      <w:r>
        <w:t>, rel</w:t>
      </w:r>
      <w:r>
        <w:t>ative to other urban water management options. These water management options include: outdoor water efficiency programs; indoor water efficiency exchanges; rebates and retrofits; building regulations; desalination; new storages; new recycling schemes; and</w:t>
      </w:r>
      <w:r>
        <w:t xml:space="preserve"> residential raintank programs.</w:t>
      </w:r>
    </w:p>
    <w:p w:rsidR="00000000" w:rsidRDefault="00D35856">
      <w:pPr>
        <w:keepNext w:val="0"/>
      </w:pPr>
      <w:r>
        <w:t xml:space="preserve">Although this study is one of several commissioned by DEW prior to the preparation of Regulatory Impact Statements (RIS) for the possible expansion of </w:t>
      </w:r>
      <w:smartTag w:uri="urn:schemas-microsoft-com:office:smarttags" w:element="City">
        <w:r>
          <w:t>WELS</w:t>
        </w:r>
      </w:smartTag>
      <w:r>
        <w:t>, this report is not intended to specifically address RIS req</w:t>
      </w:r>
      <w:r>
        <w:t>uirements, nor does it address issues relating to scheme expansion.</w:t>
      </w:r>
    </w:p>
    <w:p w:rsidR="00000000" w:rsidRDefault="00D35856">
      <w:pPr>
        <w:keepNext w:val="0"/>
      </w:pPr>
      <w:r>
        <w:t xml:space="preserve">At the commencement of this study, </w:t>
      </w:r>
      <w:smartTag w:uri="urn:schemas-microsoft-com:office:smarttags" w:element="City">
        <w:r>
          <w:t>WELS</w:t>
        </w:r>
      </w:smartTag>
      <w:r>
        <w:t xml:space="preserve"> had operated for less than 18 months and grace periods for some products manufactured or imported prior to the commencement of </w:t>
      </w:r>
      <w:smartTag w:uri="urn:schemas-microsoft-com:office:smarttags" w:element="City">
        <w:r>
          <w:t>WELS</w:t>
        </w:r>
      </w:smartTag>
      <w:r>
        <w:t xml:space="preserve"> were</w:t>
      </w:r>
      <w:r>
        <w:t xml:space="preserve"> still in place. Therefore in this study, the analysis includes elements of both </w:t>
      </w:r>
      <w:r>
        <w:rPr>
          <w:i/>
        </w:rPr>
        <w:t>evaluation</w:t>
      </w:r>
      <w:r>
        <w:t xml:space="preserve"> of the program to date (necessarily limited mainly to costs directly incurred so far as a result of </w:t>
      </w:r>
      <w:smartTag w:uri="urn:schemas-microsoft-com:office:smarttags" w:element="City">
        <w:r>
          <w:t>WELS</w:t>
        </w:r>
      </w:smartTag>
      <w:r>
        <w:t xml:space="preserve">) as well as </w:t>
      </w:r>
      <w:r>
        <w:rPr>
          <w:i/>
        </w:rPr>
        <w:t>estimation/projection</w:t>
      </w:r>
      <w:r>
        <w:t xml:space="preserve"> of costs, benefit</w:t>
      </w:r>
      <w:r>
        <w:t>s and water savings from scheme commencement into the future.</w:t>
      </w:r>
    </w:p>
    <w:p w:rsidR="00000000" w:rsidRDefault="00D35856">
      <w:pPr>
        <w:keepNext w:val="0"/>
      </w:pPr>
      <w:r>
        <w:t>This study includes analysis for those products for which labelling is mandatory – washing machines, dishwashers, showerheads, taps, toilets and urinals. Labelling for flow controllers is volunt</w:t>
      </w:r>
      <w:r>
        <w:t xml:space="preserve">ary under </w:t>
      </w:r>
      <w:smartTag w:uri="urn:schemas-microsoft-com:office:smarttags" w:element="City">
        <w:r>
          <w:t>WELS</w:t>
        </w:r>
      </w:smartTag>
      <w:r>
        <w:t xml:space="preserve">, and water savings, costs and benefits for this voluntary component have not been explicitly analysed. </w:t>
      </w:r>
    </w:p>
    <w:p w:rsidR="00000000" w:rsidRDefault="00D35856">
      <w:pPr>
        <w:pStyle w:val="Heading2"/>
        <w:numPr>
          <w:ilvl w:val="1"/>
          <w:numId w:val="3"/>
        </w:numPr>
        <w:tabs>
          <w:tab w:val="clear" w:pos="1296"/>
        </w:tabs>
        <w:ind w:left="567" w:hanging="567"/>
        <w:rPr>
          <w:color w:val="auto"/>
        </w:rPr>
      </w:pPr>
      <w:bookmarkStart w:id="14" w:name="_Toc199933722"/>
      <w:bookmarkStart w:id="15" w:name="_Toc187737267"/>
      <w:smartTag w:uri="urn:schemas-microsoft-com:office:smarttags" w:element="City">
        <w:r>
          <w:rPr>
            <w:color w:val="auto"/>
          </w:rPr>
          <w:t>WELS</w:t>
        </w:r>
      </w:smartTag>
      <w:r>
        <w:rPr>
          <w:color w:val="auto"/>
        </w:rPr>
        <w:t xml:space="preserve"> Scheme background</w:t>
      </w:r>
      <w:bookmarkEnd w:id="14"/>
      <w:r>
        <w:rPr>
          <w:color w:val="auto"/>
        </w:rPr>
        <w:t xml:space="preserve"> </w:t>
      </w:r>
      <w:bookmarkEnd w:id="15"/>
    </w:p>
    <w:p w:rsidR="00000000" w:rsidRDefault="00D35856">
      <w:pPr>
        <w:keepNext w:val="0"/>
      </w:pPr>
      <w:r>
        <w:t>The Department of the Environment, Water,</w:t>
      </w:r>
      <w:r>
        <w:t xml:space="preserve"> Heritage and the Arts (DEWHA, previously DEW) administers </w:t>
      </w:r>
      <w:smartTag w:uri="urn:schemas-microsoft-com:office:smarttags" w:element="City">
        <w:r>
          <w:t>WELS</w:t>
        </w:r>
      </w:smartTag>
      <w:r>
        <w:t>, in partnership with the State and Territory governments. The scheme requires that toilets, clothes washing machines, dishwashers, urinals, taps and showers display a star rating of th</w:t>
      </w:r>
      <w:r>
        <w:t>eir water efficiency at the point of sale. It also sets some mandatory maximum water use limits for toilets. Compared to other mandatory or voluntary water efficiency labelling schemes internationally, the Australian WELS Scheme has a wide coverage in term</w:t>
      </w:r>
      <w:r>
        <w:t xml:space="preserve">s of product types (see </w:t>
      </w:r>
      <w:fldSimple w:instr=" REF _Ref191355505 \h  \* MERGEFORMAT ">
        <w:r>
          <w:t xml:space="preserve">Box </w:t>
        </w:r>
        <w:r>
          <w:rPr>
            <w:noProof/>
          </w:rPr>
          <w:t>1</w:t>
        </w:r>
        <w:r>
          <w:rPr>
            <w:noProof/>
          </w:rPr>
          <w:noBreakHyphen/>
          <w:t>1</w:t>
        </w:r>
      </w:fldSimple>
      <w:r>
        <w:t>).</w:t>
      </w:r>
    </w:p>
    <w:tbl>
      <w:tblPr>
        <w:tblStyle w:val="TableGrid"/>
        <w:tblW w:w="0" w:type="auto"/>
        <w:tblLayout w:type="fixed"/>
        <w:tblLook w:val="01E0"/>
      </w:tblPr>
      <w:tblGrid>
        <w:gridCol w:w="8714"/>
      </w:tblGrid>
      <w:tr w:rsidR="00000000">
        <w:tc>
          <w:tcPr>
            <w:tcW w:w="8714" w:type="dxa"/>
          </w:tcPr>
          <w:p w:rsidR="00000000" w:rsidRDefault="00D35856">
            <w:pPr>
              <w:pStyle w:val="Caption"/>
              <w:keepNext w:val="0"/>
              <w:pageBreakBefore/>
              <w:rPr>
                <w:rFonts w:ascii="Palatino Linotype" w:hAnsi="Palatino Linotype"/>
              </w:rPr>
            </w:pPr>
            <w:bookmarkStart w:id="16" w:name="_Ref191355505"/>
            <w:smartTag w:uri="urn:schemas-microsoft-com:office:smarttags" w:element="City">
              <w:r>
                <w:lastRenderedPageBreak/>
                <w:t>Box</w:t>
              </w:r>
            </w:smartTag>
            <w:r>
              <w:t xml:space="preserve"> </w:t>
            </w:r>
            <w:r>
              <w:fldChar w:fldCharType="begin"/>
            </w:r>
            <w:r>
              <w:instrText xml:space="preserve"> STYLEREF 1 \s </w:instrText>
            </w:r>
            <w:r>
              <w:fldChar w:fldCharType="separate"/>
            </w:r>
            <w:r>
              <w:rPr>
                <w:noProof/>
              </w:rPr>
              <w:t>1</w:t>
            </w:r>
            <w:r>
              <w:fldChar w:fldCharType="end"/>
            </w:r>
            <w:r>
              <w:noBreakHyphen/>
            </w:r>
            <w:r>
              <w:fldChar w:fldCharType="begin"/>
            </w:r>
            <w:r>
              <w:instrText xml:space="preserve"> SEQ Box \* ARABIC \s 1 </w:instrText>
            </w:r>
            <w:r>
              <w:fldChar w:fldCharType="separate"/>
            </w:r>
            <w:r>
              <w:rPr>
                <w:noProof/>
              </w:rPr>
              <w:t>1</w:t>
            </w:r>
            <w:r>
              <w:fldChar w:fldCharType="end"/>
            </w:r>
            <w:bookmarkEnd w:id="16"/>
            <w:r>
              <w:t xml:space="preserve"> International water efficiency lab</w:t>
            </w:r>
            <w:r>
              <w:t>elling programs</w:t>
            </w:r>
          </w:p>
          <w:p w:rsidR="00000000" w:rsidRDefault="00D35856">
            <w:pPr>
              <w:keepNext w:val="0"/>
              <w:pageBreakBefore/>
              <w:rPr>
                <w:rFonts w:ascii="Arial" w:hAnsi="Arial" w:cs="Arial"/>
                <w:szCs w:val="19"/>
              </w:rPr>
            </w:pPr>
            <w:r>
              <w:rPr>
                <w:rFonts w:ascii="Arial" w:hAnsi="Arial" w:cs="Arial"/>
                <w:szCs w:val="19"/>
              </w:rPr>
              <w:t xml:space="preserve">Although there are other water efficiency labelling programs operating internationally, </w:t>
            </w:r>
            <w:smartTag w:uri="urn:schemas-microsoft-com:office:smarttags" w:element="City">
              <w:r>
                <w:rPr>
                  <w:rFonts w:ascii="Arial" w:hAnsi="Arial" w:cs="Arial"/>
                  <w:szCs w:val="19"/>
                </w:rPr>
                <w:t>Australia</w:t>
              </w:r>
            </w:smartTag>
            <w:r>
              <w:rPr>
                <w:rFonts w:ascii="Arial" w:hAnsi="Arial" w:cs="Arial"/>
                <w:szCs w:val="19"/>
              </w:rPr>
              <w:t xml:space="preserve"> is an international leader for water labelling in terms of the diversity of products included and the review process for products. </w:t>
            </w:r>
            <w:smartTag w:uri="urn:schemas-microsoft-com:office:smarttags" w:element="City">
              <w:r>
                <w:rPr>
                  <w:rFonts w:ascii="Arial" w:hAnsi="Arial" w:cs="Arial"/>
                  <w:szCs w:val="19"/>
                </w:rPr>
                <w:t>WELS</w:t>
              </w:r>
            </w:smartTag>
            <w:r>
              <w:rPr>
                <w:rFonts w:ascii="Arial" w:hAnsi="Arial" w:cs="Arial"/>
                <w:szCs w:val="19"/>
              </w:rPr>
              <w:t xml:space="preserve"> has often provided a basis for the design of these international programs (Ministry of Consumer Affairs, 2007). Most of these programs, however, are voluntary, including:</w:t>
            </w:r>
          </w:p>
          <w:p w:rsidR="00000000" w:rsidRDefault="00D35856">
            <w:pPr>
              <w:keepNext w:val="0"/>
              <w:pageBreakBefore/>
              <w:numPr>
                <w:ilvl w:val="0"/>
                <w:numId w:val="15"/>
              </w:numPr>
              <w:tabs>
                <w:tab w:val="clear" w:pos="1440"/>
                <w:tab w:val="num" w:pos="284"/>
              </w:tabs>
              <w:ind w:left="284" w:hanging="284"/>
              <w:rPr>
                <w:rFonts w:ascii="Arial" w:hAnsi="Arial" w:cs="Arial"/>
                <w:szCs w:val="19"/>
              </w:rPr>
            </w:pPr>
            <w:smartTag w:uri="urn:schemas-microsoft-com:office:smarttags" w:element="City">
              <w:r>
                <w:rPr>
                  <w:rFonts w:ascii="Arial" w:hAnsi="Arial" w:cs="Arial"/>
                  <w:b/>
                  <w:szCs w:val="19"/>
                </w:rPr>
                <w:t>U.S.A</w:t>
              </w:r>
              <w:r>
                <w:rPr>
                  <w:rFonts w:ascii="Arial" w:hAnsi="Arial" w:cs="Arial"/>
                  <w:szCs w:val="19"/>
                </w:rPr>
                <w:t>.</w:t>
              </w:r>
            </w:smartTag>
            <w:r>
              <w:rPr>
                <w:rFonts w:ascii="Arial" w:hAnsi="Arial" w:cs="Arial"/>
                <w:szCs w:val="19"/>
              </w:rPr>
              <w:t xml:space="preserve"> –</w:t>
            </w:r>
            <w:r>
              <w:rPr>
                <w:rFonts w:ascii="Arial" w:hAnsi="Arial" w:cs="Arial"/>
                <w:szCs w:val="19"/>
              </w:rPr>
              <w:t xml:space="preserve"> The WaterSense labelling scheme was launched in June 2006 and is sponsored by the U.S. Environmental Protection Agency. In order to display the WaterSense label, the products must demonstrate water use of less than 20% than their competitors. WaterSense, </w:t>
            </w:r>
            <w:r>
              <w:rPr>
                <w:rFonts w:ascii="Arial" w:hAnsi="Arial" w:cs="Arial"/>
                <w:szCs w:val="19"/>
              </w:rPr>
              <w:t xml:space="preserve">unlike </w:t>
            </w:r>
            <w:smartTag w:uri="urn:schemas-microsoft-com:office:smarttags" w:element="City">
              <w:r>
                <w:rPr>
                  <w:rFonts w:ascii="Arial" w:hAnsi="Arial" w:cs="Arial"/>
                  <w:szCs w:val="19"/>
                </w:rPr>
                <w:t>WELS</w:t>
              </w:r>
            </w:smartTag>
            <w:r>
              <w:rPr>
                <w:rFonts w:ascii="Arial" w:hAnsi="Arial" w:cs="Arial"/>
                <w:szCs w:val="19"/>
              </w:rPr>
              <w:t xml:space="preserve">, is a voluntary program. The products currently included in the scheme are high efficiency toilets, bathroom taps, showerheads and irrigation control technologies. </w:t>
            </w:r>
          </w:p>
          <w:p w:rsidR="00000000" w:rsidRDefault="00D35856">
            <w:pPr>
              <w:keepNext w:val="0"/>
              <w:pageBreakBefore/>
              <w:numPr>
                <w:ilvl w:val="0"/>
                <w:numId w:val="15"/>
              </w:numPr>
              <w:tabs>
                <w:tab w:val="clear" w:pos="1440"/>
                <w:tab w:val="num" w:pos="284"/>
              </w:tabs>
              <w:ind w:left="284" w:hanging="284"/>
              <w:rPr>
                <w:rFonts w:ascii="Arial" w:hAnsi="Arial" w:cs="Arial"/>
                <w:szCs w:val="19"/>
              </w:rPr>
            </w:pPr>
            <w:smartTag w:uri="urn:schemas-microsoft-com:office:smarttags" w:element="City">
              <w:r>
                <w:rPr>
                  <w:rFonts w:ascii="Arial" w:hAnsi="Arial" w:cs="Arial"/>
                  <w:b/>
                  <w:szCs w:val="19"/>
                </w:rPr>
                <w:t>Singapore</w:t>
              </w:r>
            </w:smartTag>
            <w:r>
              <w:rPr>
                <w:rFonts w:ascii="Arial" w:hAnsi="Arial" w:cs="Arial"/>
                <w:szCs w:val="19"/>
              </w:rPr>
              <w:t xml:space="preserve"> – The Water Efficiency Labelling Scheme is administ</w:t>
            </w:r>
            <w:r>
              <w:rPr>
                <w:rFonts w:ascii="Arial" w:hAnsi="Arial" w:cs="Arial"/>
                <w:szCs w:val="19"/>
              </w:rPr>
              <w:t>ered by the Singapore Environment Council. The labelling system is relatively simple, involving a rating of 'good', 'very good' and 'excellent' water efficiency. The program is voluntary and currently includes taps, showerheads, toilets and washing machine</w:t>
            </w:r>
            <w:r>
              <w:rPr>
                <w:rFonts w:ascii="Arial" w:hAnsi="Arial" w:cs="Arial"/>
                <w:szCs w:val="19"/>
              </w:rPr>
              <w:t xml:space="preserve">s. </w:t>
            </w:r>
          </w:p>
          <w:p w:rsidR="00000000" w:rsidRDefault="00D35856">
            <w:pPr>
              <w:keepNext w:val="0"/>
              <w:pageBreakBefore/>
              <w:rPr>
                <w:rFonts w:ascii="Arial" w:hAnsi="Arial" w:cs="Arial"/>
                <w:szCs w:val="19"/>
              </w:rPr>
            </w:pPr>
            <w:r>
              <w:rPr>
                <w:rFonts w:ascii="Arial" w:hAnsi="Arial" w:cs="Arial"/>
                <w:szCs w:val="19"/>
              </w:rPr>
              <w:t xml:space="preserve">A summary of these and other international labelling programs is included below. </w:t>
            </w:r>
          </w:p>
          <w:tbl>
            <w:tblPr>
              <w:tblW w:w="8261" w:type="dxa"/>
              <w:tblInd w:w="98" w:type="dxa"/>
              <w:tblLayout w:type="fixed"/>
              <w:tblLook w:val="0000"/>
            </w:tblPr>
            <w:tblGrid>
              <w:gridCol w:w="1081"/>
              <w:gridCol w:w="1793"/>
              <w:gridCol w:w="284"/>
              <w:gridCol w:w="992"/>
              <w:gridCol w:w="1559"/>
              <w:gridCol w:w="2552"/>
            </w:tblGrid>
            <w:tr w:rsidR="00000000">
              <w:tc>
                <w:tcPr>
                  <w:tcW w:w="1081" w:type="dxa"/>
                  <w:tcBorders>
                    <w:top w:val="single" w:sz="4" w:space="0" w:color="auto"/>
                    <w:left w:val="single" w:sz="4" w:space="0" w:color="auto"/>
                  </w:tcBorders>
                  <w:shd w:val="clear" w:color="auto" w:fill="333333"/>
                  <w:tcMar>
                    <w:left w:w="57" w:type="dxa"/>
                    <w:right w:w="57" w:type="dxa"/>
                  </w:tcMar>
                </w:tcPr>
                <w:p w:rsidR="00000000" w:rsidRDefault="00D35856">
                  <w:pPr>
                    <w:keepNext w:val="0"/>
                    <w:pageBreakBefore/>
                    <w:spacing w:after="0"/>
                    <w:jc w:val="center"/>
                    <w:rPr>
                      <w:rFonts w:ascii="Arial" w:hAnsi="Arial" w:cs="Arial"/>
                      <w:b/>
                      <w:bCs/>
                      <w:sz w:val="18"/>
                      <w:szCs w:val="18"/>
                      <w:lang w:val="en-US"/>
                    </w:rPr>
                  </w:pPr>
                  <w:r>
                    <w:rPr>
                      <w:rFonts w:ascii="Arial" w:hAnsi="Arial" w:cs="Arial"/>
                      <w:b/>
                      <w:bCs/>
                      <w:sz w:val="18"/>
                      <w:szCs w:val="18"/>
                      <w:lang w:val="en-US"/>
                    </w:rPr>
                    <w:t>Country</w:t>
                  </w:r>
                </w:p>
              </w:tc>
              <w:tc>
                <w:tcPr>
                  <w:tcW w:w="1793" w:type="dxa"/>
                  <w:tcBorders>
                    <w:top w:val="single" w:sz="4" w:space="0" w:color="auto"/>
                  </w:tcBorders>
                  <w:shd w:val="clear" w:color="auto" w:fill="333333"/>
                  <w:tcMar>
                    <w:left w:w="57" w:type="dxa"/>
                    <w:right w:w="57" w:type="dxa"/>
                  </w:tcMar>
                </w:tcPr>
                <w:p w:rsidR="00000000" w:rsidRDefault="00D35856">
                  <w:pPr>
                    <w:keepNext w:val="0"/>
                    <w:pageBreakBefore/>
                    <w:spacing w:after="0"/>
                    <w:jc w:val="center"/>
                    <w:rPr>
                      <w:rFonts w:ascii="Arial" w:hAnsi="Arial" w:cs="Arial"/>
                      <w:b/>
                      <w:bCs/>
                      <w:sz w:val="18"/>
                      <w:szCs w:val="18"/>
                      <w:lang w:val="en-US"/>
                    </w:rPr>
                  </w:pPr>
                  <w:r>
                    <w:rPr>
                      <w:rFonts w:ascii="Arial" w:hAnsi="Arial" w:cs="Arial"/>
                      <w:b/>
                      <w:bCs/>
                      <w:sz w:val="18"/>
                      <w:szCs w:val="18"/>
                      <w:lang w:val="en-US"/>
                    </w:rPr>
                    <w:t>Name</w:t>
                  </w:r>
                </w:p>
              </w:tc>
              <w:tc>
                <w:tcPr>
                  <w:tcW w:w="1276" w:type="dxa"/>
                  <w:gridSpan w:val="2"/>
                  <w:tcBorders>
                    <w:top w:val="single" w:sz="4" w:space="0" w:color="auto"/>
                  </w:tcBorders>
                  <w:shd w:val="clear" w:color="auto" w:fill="333333"/>
                  <w:tcMar>
                    <w:left w:w="57" w:type="dxa"/>
                    <w:right w:w="57" w:type="dxa"/>
                  </w:tcMar>
                </w:tcPr>
                <w:p w:rsidR="00000000" w:rsidRDefault="00D35856">
                  <w:pPr>
                    <w:keepNext w:val="0"/>
                    <w:pageBreakBefore/>
                    <w:spacing w:after="0"/>
                    <w:jc w:val="right"/>
                    <w:rPr>
                      <w:rFonts w:ascii="Arial" w:hAnsi="Arial" w:cs="Arial"/>
                      <w:b/>
                      <w:bCs/>
                      <w:sz w:val="18"/>
                      <w:szCs w:val="18"/>
                      <w:lang w:val="en-US"/>
                    </w:rPr>
                  </w:pPr>
                  <w:r>
                    <w:rPr>
                      <w:rFonts w:ascii="Arial" w:hAnsi="Arial" w:cs="Arial"/>
                      <w:b/>
                      <w:bCs/>
                      <w:sz w:val="18"/>
                      <w:szCs w:val="18"/>
                      <w:lang w:val="en-US"/>
                    </w:rPr>
                    <w:t>Mandatory</w:t>
                  </w:r>
                </w:p>
              </w:tc>
              <w:tc>
                <w:tcPr>
                  <w:tcW w:w="1559" w:type="dxa"/>
                  <w:tcBorders>
                    <w:top w:val="single" w:sz="4" w:space="0" w:color="auto"/>
                  </w:tcBorders>
                  <w:shd w:val="clear" w:color="auto" w:fill="333333"/>
                  <w:tcMar>
                    <w:left w:w="57" w:type="dxa"/>
                    <w:right w:w="57" w:type="dxa"/>
                  </w:tcMar>
                </w:tcPr>
                <w:p w:rsidR="00000000" w:rsidRDefault="00D35856">
                  <w:pPr>
                    <w:keepNext w:val="0"/>
                    <w:pageBreakBefore/>
                    <w:spacing w:after="0"/>
                    <w:rPr>
                      <w:rFonts w:ascii="Arial" w:hAnsi="Arial" w:cs="Arial"/>
                      <w:b/>
                      <w:bCs/>
                      <w:sz w:val="18"/>
                      <w:szCs w:val="18"/>
                      <w:lang w:val="en-US"/>
                    </w:rPr>
                  </w:pPr>
                  <w:r>
                    <w:rPr>
                      <w:rFonts w:ascii="Arial" w:hAnsi="Arial" w:cs="Arial"/>
                      <w:b/>
                      <w:bCs/>
                      <w:sz w:val="18"/>
                      <w:szCs w:val="18"/>
                      <w:lang w:val="en-US"/>
                    </w:rPr>
                    <w:t>Administration</w:t>
                  </w:r>
                </w:p>
              </w:tc>
              <w:tc>
                <w:tcPr>
                  <w:tcW w:w="2552" w:type="dxa"/>
                  <w:tcBorders>
                    <w:top w:val="single" w:sz="4" w:space="0" w:color="auto"/>
                    <w:right w:val="single" w:sz="4" w:space="0" w:color="auto"/>
                  </w:tcBorders>
                  <w:shd w:val="clear" w:color="auto" w:fill="333333"/>
                  <w:tcMar>
                    <w:left w:w="57" w:type="dxa"/>
                    <w:right w:w="57" w:type="dxa"/>
                  </w:tcMar>
                </w:tcPr>
                <w:p w:rsidR="00000000" w:rsidRDefault="00D35856">
                  <w:pPr>
                    <w:keepNext w:val="0"/>
                    <w:pageBreakBefore/>
                    <w:spacing w:after="0"/>
                    <w:jc w:val="center"/>
                    <w:rPr>
                      <w:rFonts w:ascii="Arial" w:hAnsi="Arial" w:cs="Arial"/>
                      <w:b/>
                      <w:bCs/>
                      <w:sz w:val="18"/>
                      <w:szCs w:val="18"/>
                      <w:lang w:val="en-US"/>
                    </w:rPr>
                  </w:pPr>
                  <w:r>
                    <w:rPr>
                      <w:rFonts w:ascii="Arial" w:hAnsi="Arial" w:cs="Arial"/>
                      <w:b/>
                      <w:bCs/>
                      <w:sz w:val="18"/>
                      <w:szCs w:val="18"/>
                      <w:lang w:val="en-US"/>
                    </w:rPr>
                    <w:t xml:space="preserve">Products </w:t>
                  </w:r>
                </w:p>
              </w:tc>
            </w:tr>
            <w:tr w:rsidR="00000000">
              <w:tc>
                <w:tcPr>
                  <w:tcW w:w="8261" w:type="dxa"/>
                  <w:gridSpan w:val="6"/>
                  <w:tcBorders>
                    <w:left w:val="single" w:sz="4" w:space="0" w:color="auto"/>
                    <w:bottom w:val="single" w:sz="4" w:space="0" w:color="auto"/>
                    <w:right w:val="single" w:sz="4" w:space="0" w:color="auto"/>
                  </w:tcBorders>
                  <w:tcMar>
                    <w:left w:w="57" w:type="dxa"/>
                    <w:right w:w="57" w:type="dxa"/>
                  </w:tcMar>
                </w:tcPr>
                <w:p w:rsidR="00000000" w:rsidRDefault="00D35856">
                  <w:pPr>
                    <w:keepNext w:val="0"/>
                    <w:pageBreakBefore/>
                    <w:spacing w:after="0"/>
                    <w:jc w:val="left"/>
                    <w:rPr>
                      <w:rFonts w:ascii="Arial" w:hAnsi="Arial" w:cs="Arial"/>
                      <w:i/>
                      <w:sz w:val="18"/>
                      <w:szCs w:val="18"/>
                      <w:lang w:val="en-US"/>
                    </w:rPr>
                  </w:pPr>
                  <w:r>
                    <w:rPr>
                      <w:rFonts w:ascii="Arial" w:hAnsi="Arial" w:cs="Arial"/>
                      <w:i/>
                      <w:sz w:val="18"/>
                      <w:szCs w:val="18"/>
                      <w:lang w:val="en-US"/>
                    </w:rPr>
                    <w:t>Schemes in operation</w:t>
                  </w:r>
                </w:p>
              </w:tc>
            </w:tr>
            <w:tr w:rsidR="00000000">
              <w:tc>
                <w:tcPr>
                  <w:tcW w:w="1081" w:type="dxa"/>
                  <w:tcBorders>
                    <w:top w:val="single" w:sz="4" w:space="0" w:color="auto"/>
                    <w:left w:val="single" w:sz="4" w:space="0" w:color="auto"/>
                    <w:bottom w:val="single" w:sz="4" w:space="0" w:color="auto"/>
                  </w:tcBorders>
                  <w:tcMar>
                    <w:left w:w="57" w:type="dxa"/>
                    <w:right w:w="57" w:type="dxa"/>
                  </w:tcMar>
                </w:tcPr>
                <w:p w:rsidR="00000000" w:rsidRDefault="00D35856">
                  <w:pPr>
                    <w:keepNext w:val="0"/>
                    <w:pageBreakBefore/>
                    <w:spacing w:after="0"/>
                    <w:jc w:val="left"/>
                    <w:rPr>
                      <w:rFonts w:ascii="Arial" w:hAnsi="Arial" w:cs="Arial"/>
                      <w:sz w:val="18"/>
                      <w:szCs w:val="18"/>
                      <w:lang w:val="en-US"/>
                    </w:rPr>
                  </w:pPr>
                  <w:smartTag w:uri="urn:schemas-microsoft-com:office:smarttags" w:element="City">
                    <w:r>
                      <w:rPr>
                        <w:rFonts w:ascii="Arial" w:hAnsi="Arial" w:cs="Arial"/>
                        <w:sz w:val="18"/>
                        <w:szCs w:val="18"/>
                        <w:lang w:val="en-US"/>
                      </w:rPr>
                      <w:t>China</w:t>
                    </w:r>
                  </w:smartTag>
                </w:p>
              </w:tc>
              <w:tc>
                <w:tcPr>
                  <w:tcW w:w="2077" w:type="dxa"/>
                  <w:gridSpan w:val="2"/>
                  <w:tcBorders>
                    <w:top w:val="single" w:sz="4" w:space="0" w:color="auto"/>
                    <w:bottom w:val="single" w:sz="4" w:space="0" w:color="auto"/>
                  </w:tcBorders>
                  <w:tcMar>
                    <w:left w:w="57" w:type="dxa"/>
                    <w:right w:w="57" w:type="dxa"/>
                  </w:tcMar>
                </w:tcPr>
                <w:p w:rsidR="00000000" w:rsidRDefault="00D35856">
                  <w:pPr>
                    <w:keepNext w:val="0"/>
                    <w:pageBreakBefore/>
                    <w:spacing w:after="0"/>
                    <w:jc w:val="left"/>
                    <w:rPr>
                      <w:rFonts w:ascii="Arial" w:hAnsi="Arial" w:cs="Arial"/>
                      <w:sz w:val="18"/>
                      <w:szCs w:val="18"/>
                      <w:lang w:val="en-US"/>
                    </w:rPr>
                  </w:pPr>
                  <w:smartTag w:uri="urn:schemas-microsoft-com:office:smarttags" w:element="City">
                    <w:r>
                      <w:rPr>
                        <w:rFonts w:ascii="Arial" w:hAnsi="Arial" w:cs="Arial"/>
                        <w:sz w:val="18"/>
                        <w:szCs w:val="18"/>
                        <w:lang w:val="en-US"/>
                      </w:rPr>
                      <w:t>China</w:t>
                    </w:r>
                  </w:smartTag>
                  <w:r>
                    <w:rPr>
                      <w:rFonts w:ascii="Arial" w:hAnsi="Arial" w:cs="Arial"/>
                      <w:sz w:val="18"/>
                      <w:szCs w:val="18"/>
                      <w:lang w:val="en-US"/>
                    </w:rPr>
                    <w:t xml:space="preserve"> Standards Certification Centre</w:t>
                  </w:r>
                  <w:r>
                    <w:rPr>
                      <w:rFonts w:ascii="Arial" w:hAnsi="Arial" w:cs="Arial"/>
                      <w:sz w:val="18"/>
                      <w:szCs w:val="18"/>
                      <w:vertAlign w:val="superscript"/>
                      <w:lang w:val="en-US"/>
                    </w:rPr>
                    <w:t>1</w:t>
                  </w:r>
                </w:p>
              </w:tc>
              <w:tc>
                <w:tcPr>
                  <w:tcW w:w="992" w:type="dxa"/>
                  <w:tcBorders>
                    <w:top w:val="single" w:sz="4" w:space="0" w:color="auto"/>
                    <w:bottom w:val="single" w:sz="4" w:space="0" w:color="auto"/>
                  </w:tcBorders>
                  <w:tcMar>
                    <w:left w:w="57" w:type="dxa"/>
                    <w:right w:w="57" w:type="dxa"/>
                  </w:tcMar>
                </w:tcPr>
                <w:p w:rsidR="00000000" w:rsidRDefault="00D35856">
                  <w:pPr>
                    <w:keepNext w:val="0"/>
                    <w:pageBreakBefore/>
                    <w:spacing w:after="0"/>
                    <w:jc w:val="left"/>
                    <w:rPr>
                      <w:rFonts w:ascii="Arial" w:hAnsi="Arial" w:cs="Arial"/>
                      <w:sz w:val="18"/>
                      <w:szCs w:val="18"/>
                      <w:lang w:val="en-US"/>
                    </w:rPr>
                  </w:pPr>
                  <w:r>
                    <w:rPr>
                      <w:rFonts w:ascii="Arial" w:hAnsi="Arial" w:cs="Arial"/>
                      <w:sz w:val="18"/>
                      <w:szCs w:val="18"/>
                      <w:lang w:val="en-US"/>
                    </w:rPr>
                    <w:t>Yes</w:t>
                  </w:r>
                </w:p>
              </w:tc>
              <w:tc>
                <w:tcPr>
                  <w:tcW w:w="1559" w:type="dxa"/>
                  <w:tcBorders>
                    <w:top w:val="single" w:sz="4" w:space="0" w:color="auto"/>
                    <w:bottom w:val="single" w:sz="4" w:space="0" w:color="auto"/>
                  </w:tcBorders>
                  <w:tcMar>
                    <w:left w:w="57" w:type="dxa"/>
                    <w:right w:w="57" w:type="dxa"/>
                  </w:tcMar>
                </w:tcPr>
                <w:p w:rsidR="00000000" w:rsidRDefault="00D35856">
                  <w:pPr>
                    <w:keepNext w:val="0"/>
                    <w:pageBreakBefore/>
                    <w:spacing w:after="0"/>
                    <w:jc w:val="left"/>
                    <w:rPr>
                      <w:rFonts w:ascii="Arial" w:hAnsi="Arial" w:cs="Arial"/>
                      <w:sz w:val="18"/>
                      <w:szCs w:val="18"/>
                      <w:lang w:val="en-US"/>
                    </w:rPr>
                  </w:pPr>
                  <w:r>
                    <w:rPr>
                      <w:rFonts w:ascii="Arial" w:hAnsi="Arial" w:cs="Arial"/>
                      <w:sz w:val="18"/>
                      <w:szCs w:val="18"/>
                      <w:lang w:val="en-US"/>
                    </w:rPr>
                    <w:t>Government</w:t>
                  </w:r>
                </w:p>
              </w:tc>
              <w:tc>
                <w:tcPr>
                  <w:tcW w:w="2552" w:type="dxa"/>
                  <w:tcBorders>
                    <w:top w:val="single" w:sz="4" w:space="0" w:color="auto"/>
                    <w:bottom w:val="single" w:sz="4" w:space="0" w:color="auto"/>
                    <w:right w:val="single" w:sz="4" w:space="0" w:color="auto"/>
                  </w:tcBorders>
                  <w:tcMar>
                    <w:left w:w="57" w:type="dxa"/>
                    <w:right w:w="57" w:type="dxa"/>
                  </w:tcMar>
                </w:tcPr>
                <w:p w:rsidR="00000000" w:rsidRDefault="00D35856">
                  <w:pPr>
                    <w:keepNext w:val="0"/>
                    <w:pageBreakBefore/>
                    <w:spacing w:after="0"/>
                    <w:jc w:val="left"/>
                    <w:rPr>
                      <w:rFonts w:ascii="Arial" w:hAnsi="Arial" w:cs="Arial"/>
                      <w:sz w:val="18"/>
                      <w:szCs w:val="18"/>
                      <w:lang w:val="en-US"/>
                    </w:rPr>
                  </w:pPr>
                  <w:r>
                    <w:rPr>
                      <w:rFonts w:ascii="Arial" w:hAnsi="Arial" w:cs="Arial"/>
                      <w:sz w:val="18"/>
                      <w:szCs w:val="18"/>
                      <w:lang w:val="en-US"/>
                    </w:rPr>
                    <w:t xml:space="preserve">Washing Machines (minimum standards) </w:t>
                  </w:r>
                </w:p>
              </w:tc>
            </w:tr>
            <w:tr w:rsidR="00000000">
              <w:tc>
                <w:tcPr>
                  <w:tcW w:w="1081" w:type="dxa"/>
                  <w:tcBorders>
                    <w:top w:val="single" w:sz="4" w:space="0" w:color="auto"/>
                    <w:left w:val="single" w:sz="4" w:space="0" w:color="auto"/>
                    <w:bottom w:val="single" w:sz="4" w:space="0" w:color="auto"/>
                  </w:tcBorders>
                  <w:tcMar>
                    <w:left w:w="57" w:type="dxa"/>
                    <w:right w:w="57" w:type="dxa"/>
                  </w:tcMar>
                </w:tcPr>
                <w:p w:rsidR="00000000" w:rsidRDefault="00D35856">
                  <w:pPr>
                    <w:keepNext w:val="0"/>
                    <w:pageBreakBefore/>
                    <w:spacing w:after="0"/>
                    <w:jc w:val="left"/>
                    <w:rPr>
                      <w:rFonts w:ascii="Arial" w:hAnsi="Arial" w:cs="Arial"/>
                      <w:sz w:val="18"/>
                      <w:szCs w:val="18"/>
                      <w:lang w:val="en-US"/>
                    </w:rPr>
                  </w:pPr>
                  <w:smartTag w:uri="urn:schemas-microsoft-com:office:smarttags" w:element="City">
                    <w:r>
                      <w:rPr>
                        <w:rFonts w:ascii="Arial" w:hAnsi="Arial" w:cs="Arial"/>
                        <w:sz w:val="18"/>
                        <w:szCs w:val="18"/>
                        <w:lang w:val="en-US"/>
                      </w:rPr>
                      <w:t>Singapore</w:t>
                    </w:r>
                  </w:smartTag>
                </w:p>
              </w:tc>
              <w:tc>
                <w:tcPr>
                  <w:tcW w:w="2077" w:type="dxa"/>
                  <w:gridSpan w:val="2"/>
                  <w:tcBorders>
                    <w:top w:val="single" w:sz="4" w:space="0" w:color="auto"/>
                    <w:bottom w:val="single" w:sz="4" w:space="0" w:color="auto"/>
                  </w:tcBorders>
                  <w:tcMar>
                    <w:left w:w="57" w:type="dxa"/>
                    <w:right w:w="57" w:type="dxa"/>
                  </w:tcMar>
                </w:tcPr>
                <w:p w:rsidR="00000000" w:rsidRDefault="00D35856">
                  <w:pPr>
                    <w:keepNext w:val="0"/>
                    <w:pageBreakBefore/>
                    <w:spacing w:after="0"/>
                    <w:jc w:val="left"/>
                    <w:rPr>
                      <w:rFonts w:ascii="Arial" w:hAnsi="Arial" w:cs="Arial"/>
                      <w:sz w:val="18"/>
                      <w:szCs w:val="18"/>
                      <w:lang w:val="en-US"/>
                    </w:rPr>
                  </w:pPr>
                  <w:r>
                    <w:rPr>
                      <w:rFonts w:ascii="Arial" w:hAnsi="Arial" w:cs="Arial"/>
                      <w:sz w:val="18"/>
                      <w:szCs w:val="18"/>
                      <w:lang w:val="en-US"/>
                    </w:rPr>
                    <w:t>Water Efficiency</w:t>
                  </w:r>
                  <w:r>
                    <w:rPr>
                      <w:rFonts w:ascii="Arial" w:hAnsi="Arial" w:cs="Arial"/>
                      <w:sz w:val="18"/>
                      <w:szCs w:val="18"/>
                    </w:rPr>
                    <w:t xml:space="preserve"> Labelling</w:t>
                  </w:r>
                  <w:r>
                    <w:rPr>
                      <w:rFonts w:ascii="Arial" w:hAnsi="Arial" w:cs="Arial"/>
                      <w:sz w:val="18"/>
                      <w:szCs w:val="18"/>
                      <w:lang w:val="en-US"/>
                    </w:rPr>
                    <w:t xml:space="preserve"> Scheme </w:t>
                  </w:r>
                  <w:r>
                    <w:rPr>
                      <w:rFonts w:ascii="Arial" w:hAnsi="Arial" w:cs="Arial"/>
                      <w:sz w:val="18"/>
                      <w:szCs w:val="18"/>
                      <w:vertAlign w:val="superscript"/>
                      <w:lang w:val="en-US"/>
                    </w:rPr>
                    <w:t>2</w:t>
                  </w:r>
                </w:p>
              </w:tc>
              <w:tc>
                <w:tcPr>
                  <w:tcW w:w="992" w:type="dxa"/>
                  <w:tcBorders>
                    <w:top w:val="single" w:sz="4" w:space="0" w:color="auto"/>
                    <w:bottom w:val="single" w:sz="4" w:space="0" w:color="auto"/>
                  </w:tcBorders>
                  <w:tcMar>
                    <w:left w:w="57" w:type="dxa"/>
                    <w:right w:w="57" w:type="dxa"/>
                  </w:tcMar>
                </w:tcPr>
                <w:p w:rsidR="00000000" w:rsidRDefault="00D35856">
                  <w:pPr>
                    <w:keepNext w:val="0"/>
                    <w:pageBreakBefore/>
                    <w:spacing w:after="0"/>
                    <w:jc w:val="left"/>
                    <w:rPr>
                      <w:rFonts w:ascii="Arial" w:hAnsi="Arial" w:cs="Arial"/>
                      <w:sz w:val="18"/>
                      <w:szCs w:val="18"/>
                      <w:lang w:val="en-US"/>
                    </w:rPr>
                  </w:pPr>
                  <w:r>
                    <w:rPr>
                      <w:rFonts w:ascii="Arial" w:hAnsi="Arial" w:cs="Arial"/>
                      <w:sz w:val="18"/>
                      <w:szCs w:val="18"/>
                      <w:lang w:val="en-US"/>
                    </w:rPr>
                    <w:t>No</w:t>
                  </w:r>
                </w:p>
              </w:tc>
              <w:tc>
                <w:tcPr>
                  <w:tcW w:w="1559" w:type="dxa"/>
                  <w:tcBorders>
                    <w:top w:val="single" w:sz="4" w:space="0" w:color="auto"/>
                    <w:bottom w:val="single" w:sz="4" w:space="0" w:color="auto"/>
                  </w:tcBorders>
                  <w:tcMar>
                    <w:left w:w="57" w:type="dxa"/>
                    <w:right w:w="57" w:type="dxa"/>
                  </w:tcMar>
                </w:tcPr>
                <w:p w:rsidR="00000000" w:rsidRDefault="00D35856">
                  <w:pPr>
                    <w:keepNext w:val="0"/>
                    <w:pageBreakBefore/>
                    <w:spacing w:after="0"/>
                    <w:jc w:val="left"/>
                    <w:rPr>
                      <w:rFonts w:ascii="Arial" w:hAnsi="Arial" w:cs="Arial"/>
                      <w:sz w:val="18"/>
                      <w:szCs w:val="18"/>
                      <w:lang w:val="en-US"/>
                    </w:rPr>
                  </w:pPr>
                  <w:r>
                    <w:rPr>
                      <w:rFonts w:ascii="Arial" w:hAnsi="Arial" w:cs="Arial"/>
                      <w:sz w:val="18"/>
                      <w:szCs w:val="18"/>
                      <w:lang w:val="en-US"/>
                    </w:rPr>
                    <w:t>Government</w:t>
                  </w:r>
                </w:p>
              </w:tc>
              <w:tc>
                <w:tcPr>
                  <w:tcW w:w="2552" w:type="dxa"/>
                  <w:tcBorders>
                    <w:top w:val="single" w:sz="4" w:space="0" w:color="auto"/>
                    <w:bottom w:val="single" w:sz="4" w:space="0" w:color="auto"/>
                    <w:right w:val="single" w:sz="4" w:space="0" w:color="auto"/>
                  </w:tcBorders>
                  <w:tcMar>
                    <w:left w:w="57" w:type="dxa"/>
                    <w:right w:w="57" w:type="dxa"/>
                  </w:tcMar>
                </w:tcPr>
                <w:p w:rsidR="00000000" w:rsidRDefault="00D35856">
                  <w:pPr>
                    <w:keepNext w:val="0"/>
                    <w:pageBreakBefore/>
                    <w:spacing w:after="0"/>
                    <w:jc w:val="left"/>
                    <w:rPr>
                      <w:rFonts w:ascii="Arial" w:hAnsi="Arial" w:cs="Arial"/>
                      <w:sz w:val="18"/>
                      <w:szCs w:val="18"/>
                      <w:lang w:val="en-US"/>
                    </w:rPr>
                  </w:pPr>
                  <w:r>
                    <w:rPr>
                      <w:rFonts w:ascii="Arial" w:hAnsi="Arial" w:cs="Arial"/>
                      <w:sz w:val="18"/>
                      <w:szCs w:val="18"/>
                      <w:lang w:val="en-US"/>
                    </w:rPr>
                    <w:t>Taps, Toilets, Showerheads, Washing Machines</w:t>
                  </w:r>
                </w:p>
              </w:tc>
            </w:tr>
            <w:tr w:rsidR="00000000">
              <w:tc>
                <w:tcPr>
                  <w:tcW w:w="1081" w:type="dxa"/>
                  <w:tcBorders>
                    <w:top w:val="single" w:sz="4" w:space="0" w:color="auto"/>
                    <w:left w:val="single" w:sz="4" w:space="0" w:color="auto"/>
                    <w:bottom w:val="single" w:sz="4" w:space="0" w:color="auto"/>
                  </w:tcBorders>
                  <w:tcMar>
                    <w:left w:w="57" w:type="dxa"/>
                    <w:right w:w="57" w:type="dxa"/>
                  </w:tcMar>
                </w:tcPr>
                <w:p w:rsidR="00000000" w:rsidRDefault="00D35856">
                  <w:pPr>
                    <w:keepNext w:val="0"/>
                    <w:pageBreakBefore/>
                    <w:spacing w:after="0"/>
                    <w:jc w:val="left"/>
                    <w:rPr>
                      <w:rFonts w:ascii="Arial" w:hAnsi="Arial" w:cs="Arial"/>
                      <w:sz w:val="18"/>
                      <w:szCs w:val="18"/>
                      <w:lang w:val="en-US"/>
                    </w:rPr>
                  </w:pPr>
                  <w:smartTag w:uri="urn:schemas-microsoft-com:office:smarttags" w:element="City">
                    <w:r>
                      <w:rPr>
                        <w:rFonts w:ascii="Arial" w:hAnsi="Arial" w:cs="Arial"/>
                        <w:sz w:val="18"/>
                        <w:szCs w:val="18"/>
                        <w:lang w:val="en-US"/>
                      </w:rPr>
                      <w:t>UK</w:t>
                    </w:r>
                  </w:smartTag>
                </w:p>
              </w:tc>
              <w:tc>
                <w:tcPr>
                  <w:tcW w:w="2077" w:type="dxa"/>
                  <w:gridSpan w:val="2"/>
                  <w:tcBorders>
                    <w:top w:val="single" w:sz="4" w:space="0" w:color="auto"/>
                    <w:bottom w:val="single" w:sz="4" w:space="0" w:color="auto"/>
                  </w:tcBorders>
                  <w:tcMar>
                    <w:left w:w="57" w:type="dxa"/>
                    <w:right w:w="57" w:type="dxa"/>
                  </w:tcMar>
                </w:tcPr>
                <w:p w:rsidR="00000000" w:rsidRDefault="00D35856">
                  <w:pPr>
                    <w:keepNext w:val="0"/>
                    <w:pageBreakBefore/>
                    <w:spacing w:after="0"/>
                    <w:jc w:val="left"/>
                    <w:rPr>
                      <w:rFonts w:ascii="Arial" w:hAnsi="Arial" w:cs="Arial"/>
                      <w:sz w:val="18"/>
                      <w:szCs w:val="18"/>
                      <w:lang w:val="en-US"/>
                    </w:rPr>
                  </w:pPr>
                  <w:r>
                    <w:rPr>
                      <w:rFonts w:ascii="Arial" w:hAnsi="Arial" w:cs="Arial"/>
                      <w:sz w:val="18"/>
                      <w:szCs w:val="18"/>
                      <w:lang w:val="en-US"/>
                    </w:rPr>
                    <w:t>Water Efficient Product Labelling Scheme</w:t>
                  </w:r>
                  <w:r>
                    <w:rPr>
                      <w:rFonts w:ascii="Arial" w:hAnsi="Arial" w:cs="Arial"/>
                      <w:sz w:val="18"/>
                      <w:szCs w:val="18"/>
                      <w:vertAlign w:val="superscript"/>
                      <w:lang w:val="en-US"/>
                    </w:rPr>
                    <w:t>3</w:t>
                  </w:r>
                </w:p>
              </w:tc>
              <w:tc>
                <w:tcPr>
                  <w:tcW w:w="992" w:type="dxa"/>
                  <w:tcBorders>
                    <w:top w:val="single" w:sz="4" w:space="0" w:color="auto"/>
                    <w:bottom w:val="single" w:sz="4" w:space="0" w:color="auto"/>
                  </w:tcBorders>
                  <w:tcMar>
                    <w:left w:w="57" w:type="dxa"/>
                    <w:right w:w="57" w:type="dxa"/>
                  </w:tcMar>
                </w:tcPr>
                <w:p w:rsidR="00000000" w:rsidRDefault="00D35856">
                  <w:pPr>
                    <w:keepNext w:val="0"/>
                    <w:pageBreakBefore/>
                    <w:spacing w:after="0"/>
                    <w:jc w:val="left"/>
                    <w:rPr>
                      <w:rFonts w:ascii="Arial" w:hAnsi="Arial" w:cs="Arial"/>
                      <w:sz w:val="18"/>
                      <w:szCs w:val="18"/>
                      <w:lang w:val="en-US"/>
                    </w:rPr>
                  </w:pPr>
                  <w:r>
                    <w:rPr>
                      <w:rFonts w:ascii="Arial" w:hAnsi="Arial" w:cs="Arial"/>
                      <w:sz w:val="18"/>
                      <w:szCs w:val="18"/>
                      <w:lang w:val="en-US"/>
                    </w:rPr>
                    <w:t>No</w:t>
                  </w:r>
                </w:p>
              </w:tc>
              <w:tc>
                <w:tcPr>
                  <w:tcW w:w="1559" w:type="dxa"/>
                  <w:tcBorders>
                    <w:top w:val="single" w:sz="4" w:space="0" w:color="auto"/>
                    <w:bottom w:val="single" w:sz="4" w:space="0" w:color="auto"/>
                  </w:tcBorders>
                  <w:tcMar>
                    <w:left w:w="57" w:type="dxa"/>
                    <w:right w:w="57" w:type="dxa"/>
                  </w:tcMar>
                </w:tcPr>
                <w:p w:rsidR="00000000" w:rsidRDefault="00D35856">
                  <w:pPr>
                    <w:keepNext w:val="0"/>
                    <w:pageBreakBefore/>
                    <w:spacing w:after="0"/>
                    <w:jc w:val="left"/>
                    <w:rPr>
                      <w:rFonts w:ascii="Arial" w:hAnsi="Arial" w:cs="Arial"/>
                      <w:sz w:val="18"/>
                      <w:szCs w:val="18"/>
                      <w:lang w:val="en-US"/>
                    </w:rPr>
                  </w:pPr>
                  <w:r>
                    <w:rPr>
                      <w:rFonts w:ascii="Arial" w:hAnsi="Arial" w:cs="Arial"/>
                      <w:sz w:val="18"/>
                      <w:szCs w:val="18"/>
                      <w:lang w:val="en-US"/>
                    </w:rPr>
                    <w:t xml:space="preserve">Manufacturers Association </w:t>
                  </w:r>
                </w:p>
              </w:tc>
              <w:tc>
                <w:tcPr>
                  <w:tcW w:w="2552" w:type="dxa"/>
                  <w:tcBorders>
                    <w:top w:val="single" w:sz="4" w:space="0" w:color="auto"/>
                    <w:bottom w:val="single" w:sz="4" w:space="0" w:color="auto"/>
                    <w:right w:val="single" w:sz="4" w:space="0" w:color="auto"/>
                  </w:tcBorders>
                  <w:tcMar>
                    <w:left w:w="57" w:type="dxa"/>
                    <w:right w:w="57" w:type="dxa"/>
                  </w:tcMar>
                </w:tcPr>
                <w:p w:rsidR="00000000" w:rsidRDefault="00D35856">
                  <w:pPr>
                    <w:keepNext w:val="0"/>
                    <w:pageBreakBefore/>
                    <w:spacing w:after="0"/>
                    <w:jc w:val="left"/>
                    <w:rPr>
                      <w:rFonts w:ascii="Arial" w:hAnsi="Arial" w:cs="Arial"/>
                      <w:sz w:val="18"/>
                      <w:szCs w:val="18"/>
                      <w:lang w:val="en-US"/>
                    </w:rPr>
                  </w:pPr>
                  <w:r>
                    <w:rPr>
                      <w:rFonts w:ascii="Arial" w:hAnsi="Arial" w:cs="Arial"/>
                      <w:sz w:val="18"/>
                      <w:szCs w:val="18"/>
                      <w:lang w:val="en-US"/>
                    </w:rPr>
                    <w:t>Taps, Toilets, Showerheads, Baths</w:t>
                  </w:r>
                </w:p>
              </w:tc>
            </w:tr>
            <w:tr w:rsidR="00000000">
              <w:tc>
                <w:tcPr>
                  <w:tcW w:w="1081" w:type="dxa"/>
                  <w:tcBorders>
                    <w:top w:val="single" w:sz="4" w:space="0" w:color="auto"/>
                    <w:left w:val="single" w:sz="4" w:space="0" w:color="auto"/>
                    <w:bottom w:val="single" w:sz="4" w:space="0" w:color="auto"/>
                  </w:tcBorders>
                  <w:tcMar>
                    <w:left w:w="57" w:type="dxa"/>
                    <w:right w:w="57" w:type="dxa"/>
                  </w:tcMar>
                </w:tcPr>
                <w:p w:rsidR="00000000" w:rsidRDefault="00D35856">
                  <w:pPr>
                    <w:keepNext w:val="0"/>
                    <w:pageBreakBefore/>
                    <w:spacing w:after="0"/>
                    <w:jc w:val="left"/>
                    <w:rPr>
                      <w:rFonts w:ascii="Arial" w:hAnsi="Arial" w:cs="Arial"/>
                      <w:sz w:val="18"/>
                      <w:szCs w:val="18"/>
                      <w:lang w:val="en-US"/>
                    </w:rPr>
                  </w:pPr>
                  <w:smartTag w:uri="urn:schemas-microsoft-com:office:smarttags" w:element="City">
                    <w:r>
                      <w:rPr>
                        <w:rFonts w:ascii="Arial" w:hAnsi="Arial" w:cs="Arial"/>
                        <w:sz w:val="18"/>
                        <w:szCs w:val="18"/>
                        <w:lang w:val="en-US"/>
                      </w:rPr>
                      <w:t>UK</w:t>
                    </w:r>
                  </w:smartTag>
                </w:p>
              </w:tc>
              <w:tc>
                <w:tcPr>
                  <w:tcW w:w="2077" w:type="dxa"/>
                  <w:gridSpan w:val="2"/>
                  <w:tcBorders>
                    <w:top w:val="single" w:sz="4" w:space="0" w:color="auto"/>
                    <w:bottom w:val="single" w:sz="4" w:space="0" w:color="auto"/>
                  </w:tcBorders>
                  <w:tcMar>
                    <w:left w:w="57" w:type="dxa"/>
                    <w:right w:w="57" w:type="dxa"/>
                  </w:tcMar>
                </w:tcPr>
                <w:p w:rsidR="00000000" w:rsidRDefault="00D35856">
                  <w:pPr>
                    <w:keepNext w:val="0"/>
                    <w:pageBreakBefore/>
                    <w:spacing w:after="0"/>
                    <w:jc w:val="left"/>
                    <w:rPr>
                      <w:rFonts w:ascii="Arial" w:hAnsi="Arial" w:cs="Arial"/>
                      <w:sz w:val="18"/>
                      <w:szCs w:val="18"/>
                      <w:lang w:val="en-US"/>
                    </w:rPr>
                  </w:pPr>
                  <w:r>
                    <w:rPr>
                      <w:rFonts w:ascii="Arial" w:hAnsi="Arial" w:cs="Arial"/>
                      <w:sz w:val="18"/>
                      <w:szCs w:val="18"/>
                      <w:lang w:val="en-US"/>
                    </w:rPr>
                    <w:t>Waterwise Marque</w:t>
                  </w:r>
                  <w:r>
                    <w:rPr>
                      <w:rFonts w:ascii="Arial" w:hAnsi="Arial" w:cs="Arial"/>
                      <w:sz w:val="18"/>
                      <w:szCs w:val="18"/>
                      <w:vertAlign w:val="superscript"/>
                      <w:lang w:val="en-US"/>
                    </w:rPr>
                    <w:t>4</w:t>
                  </w:r>
                </w:p>
              </w:tc>
              <w:tc>
                <w:tcPr>
                  <w:tcW w:w="992" w:type="dxa"/>
                  <w:tcBorders>
                    <w:top w:val="single" w:sz="4" w:space="0" w:color="auto"/>
                    <w:bottom w:val="single" w:sz="4" w:space="0" w:color="auto"/>
                  </w:tcBorders>
                  <w:tcMar>
                    <w:left w:w="57" w:type="dxa"/>
                    <w:right w:w="57" w:type="dxa"/>
                  </w:tcMar>
                </w:tcPr>
                <w:p w:rsidR="00000000" w:rsidRDefault="00D35856">
                  <w:pPr>
                    <w:keepNext w:val="0"/>
                    <w:pageBreakBefore/>
                    <w:spacing w:after="0"/>
                    <w:jc w:val="left"/>
                    <w:rPr>
                      <w:rFonts w:ascii="Arial" w:hAnsi="Arial" w:cs="Arial"/>
                      <w:sz w:val="18"/>
                      <w:szCs w:val="18"/>
                      <w:lang w:val="en-US"/>
                    </w:rPr>
                  </w:pPr>
                  <w:r>
                    <w:rPr>
                      <w:rFonts w:ascii="Arial" w:hAnsi="Arial" w:cs="Arial"/>
                      <w:sz w:val="18"/>
                      <w:szCs w:val="18"/>
                      <w:lang w:val="en-US"/>
                    </w:rPr>
                    <w:t>Yes</w:t>
                  </w:r>
                </w:p>
              </w:tc>
              <w:tc>
                <w:tcPr>
                  <w:tcW w:w="1559" w:type="dxa"/>
                  <w:tcBorders>
                    <w:top w:val="single" w:sz="4" w:space="0" w:color="auto"/>
                    <w:bottom w:val="single" w:sz="4" w:space="0" w:color="auto"/>
                  </w:tcBorders>
                  <w:tcMar>
                    <w:left w:w="57" w:type="dxa"/>
                    <w:right w:w="57" w:type="dxa"/>
                  </w:tcMar>
                </w:tcPr>
                <w:p w:rsidR="00000000" w:rsidRDefault="00D35856">
                  <w:pPr>
                    <w:keepNext w:val="0"/>
                    <w:pageBreakBefore/>
                    <w:spacing w:after="0"/>
                    <w:jc w:val="left"/>
                    <w:rPr>
                      <w:rFonts w:ascii="Arial" w:hAnsi="Arial" w:cs="Arial"/>
                      <w:sz w:val="18"/>
                      <w:szCs w:val="18"/>
                      <w:lang w:val="en-US"/>
                    </w:rPr>
                  </w:pPr>
                  <w:r>
                    <w:rPr>
                      <w:rFonts w:ascii="Arial" w:hAnsi="Arial" w:cs="Arial"/>
                      <w:sz w:val="18"/>
                      <w:szCs w:val="18"/>
                      <w:lang w:val="en-US"/>
                    </w:rPr>
                    <w:t>Water Saving Group</w:t>
                  </w:r>
                </w:p>
              </w:tc>
              <w:tc>
                <w:tcPr>
                  <w:tcW w:w="2552" w:type="dxa"/>
                  <w:tcBorders>
                    <w:top w:val="single" w:sz="4" w:space="0" w:color="auto"/>
                    <w:bottom w:val="single" w:sz="4" w:space="0" w:color="auto"/>
                    <w:right w:val="single" w:sz="4" w:space="0" w:color="auto"/>
                  </w:tcBorders>
                  <w:tcMar>
                    <w:left w:w="57" w:type="dxa"/>
                    <w:right w:w="57" w:type="dxa"/>
                  </w:tcMar>
                </w:tcPr>
                <w:p w:rsidR="00000000" w:rsidRDefault="00D35856">
                  <w:pPr>
                    <w:keepNext w:val="0"/>
                    <w:pageBreakBefore/>
                    <w:spacing w:after="0"/>
                    <w:jc w:val="left"/>
                    <w:rPr>
                      <w:rFonts w:ascii="Arial" w:hAnsi="Arial" w:cs="Arial"/>
                      <w:sz w:val="18"/>
                      <w:szCs w:val="18"/>
                      <w:lang w:val="en-US"/>
                    </w:rPr>
                  </w:pPr>
                  <w:r>
                    <w:rPr>
                      <w:rFonts w:ascii="Arial" w:hAnsi="Arial" w:cs="Arial"/>
                      <w:sz w:val="18"/>
                      <w:szCs w:val="18"/>
                      <w:lang w:val="en-US"/>
                    </w:rPr>
                    <w:t xml:space="preserve">Any products - awarded annually to best performing products. </w:t>
                  </w:r>
                </w:p>
              </w:tc>
            </w:tr>
            <w:tr w:rsidR="00000000">
              <w:tc>
                <w:tcPr>
                  <w:tcW w:w="8261" w:type="dxa"/>
                  <w:gridSpan w:val="6"/>
                  <w:tcBorders>
                    <w:top w:val="single" w:sz="4" w:space="0" w:color="auto"/>
                    <w:left w:val="single" w:sz="4" w:space="0" w:color="auto"/>
                    <w:bottom w:val="single" w:sz="4" w:space="0" w:color="auto"/>
                    <w:right w:val="single" w:sz="4" w:space="0" w:color="auto"/>
                  </w:tcBorders>
                  <w:tcMar>
                    <w:left w:w="57" w:type="dxa"/>
                    <w:right w:w="57" w:type="dxa"/>
                  </w:tcMar>
                </w:tcPr>
                <w:p w:rsidR="00000000" w:rsidRDefault="00D35856">
                  <w:pPr>
                    <w:keepNext w:val="0"/>
                    <w:pageBreakBefore/>
                    <w:spacing w:after="0"/>
                    <w:jc w:val="left"/>
                    <w:rPr>
                      <w:rFonts w:ascii="Arial" w:hAnsi="Arial" w:cs="Arial"/>
                      <w:i/>
                      <w:sz w:val="18"/>
                      <w:szCs w:val="18"/>
                      <w:lang w:val="en-US"/>
                    </w:rPr>
                  </w:pPr>
                  <w:r>
                    <w:rPr>
                      <w:rFonts w:ascii="Arial" w:hAnsi="Arial" w:cs="Arial"/>
                      <w:i/>
                      <w:sz w:val="18"/>
                      <w:szCs w:val="18"/>
                      <w:lang w:val="en-US"/>
                    </w:rPr>
                    <w:t>Proposed schemes</w:t>
                  </w:r>
                </w:p>
              </w:tc>
            </w:tr>
            <w:tr w:rsidR="00000000">
              <w:tc>
                <w:tcPr>
                  <w:tcW w:w="1081" w:type="dxa"/>
                  <w:tcBorders>
                    <w:top w:val="single" w:sz="4" w:space="0" w:color="auto"/>
                    <w:left w:val="single" w:sz="4" w:space="0" w:color="auto"/>
                    <w:bottom w:val="single" w:sz="4" w:space="0" w:color="auto"/>
                  </w:tcBorders>
                  <w:tcMar>
                    <w:left w:w="57" w:type="dxa"/>
                    <w:right w:w="57" w:type="dxa"/>
                  </w:tcMar>
                </w:tcPr>
                <w:p w:rsidR="00000000" w:rsidRDefault="00D35856">
                  <w:pPr>
                    <w:keepNext w:val="0"/>
                    <w:pageBreakBefore/>
                    <w:spacing w:after="0"/>
                    <w:jc w:val="left"/>
                    <w:rPr>
                      <w:rFonts w:ascii="Arial" w:hAnsi="Arial" w:cs="Arial"/>
                      <w:sz w:val="18"/>
                      <w:szCs w:val="18"/>
                      <w:lang w:val="en-US"/>
                    </w:rPr>
                  </w:pPr>
                  <w:smartTag w:uri="urn:schemas-microsoft-com:office:smarttags" w:element="City">
                    <w:r>
                      <w:rPr>
                        <w:rFonts w:ascii="Arial" w:hAnsi="Arial" w:cs="Arial"/>
                        <w:sz w:val="18"/>
                        <w:szCs w:val="18"/>
                        <w:lang w:val="en-US"/>
                      </w:rPr>
                      <w:t>New Zealand</w:t>
                    </w:r>
                  </w:smartTag>
                </w:p>
              </w:tc>
              <w:tc>
                <w:tcPr>
                  <w:tcW w:w="2077" w:type="dxa"/>
                  <w:gridSpan w:val="2"/>
                  <w:tcBorders>
                    <w:top w:val="single" w:sz="4" w:space="0" w:color="auto"/>
                    <w:bottom w:val="single" w:sz="4" w:space="0" w:color="auto"/>
                  </w:tcBorders>
                  <w:tcMar>
                    <w:left w:w="57" w:type="dxa"/>
                    <w:right w:w="57" w:type="dxa"/>
                  </w:tcMar>
                </w:tcPr>
                <w:p w:rsidR="00000000" w:rsidRDefault="00D35856">
                  <w:pPr>
                    <w:keepNext w:val="0"/>
                    <w:pageBreakBefore/>
                    <w:spacing w:after="0"/>
                    <w:jc w:val="left"/>
                    <w:rPr>
                      <w:rFonts w:ascii="Arial" w:hAnsi="Arial" w:cs="Arial"/>
                      <w:sz w:val="18"/>
                      <w:szCs w:val="18"/>
                      <w:lang w:val="en-US"/>
                    </w:rPr>
                  </w:pPr>
                  <w:r>
                    <w:rPr>
                      <w:rFonts w:ascii="Arial" w:hAnsi="Arial" w:cs="Arial"/>
                      <w:sz w:val="18"/>
                      <w:szCs w:val="18"/>
                      <w:lang w:val="en-US"/>
                    </w:rPr>
                    <w:t>Mandatory Water Efficiency Labelling</w:t>
                  </w:r>
                  <w:r>
                    <w:rPr>
                      <w:rFonts w:ascii="Arial" w:hAnsi="Arial" w:cs="Arial"/>
                      <w:sz w:val="18"/>
                      <w:szCs w:val="18"/>
                      <w:vertAlign w:val="superscript"/>
                      <w:lang w:val="en-US"/>
                    </w:rPr>
                    <w:t>5</w:t>
                  </w:r>
                </w:p>
              </w:tc>
              <w:tc>
                <w:tcPr>
                  <w:tcW w:w="992" w:type="dxa"/>
                  <w:tcBorders>
                    <w:top w:val="single" w:sz="4" w:space="0" w:color="auto"/>
                    <w:bottom w:val="single" w:sz="4" w:space="0" w:color="auto"/>
                  </w:tcBorders>
                  <w:tcMar>
                    <w:left w:w="57" w:type="dxa"/>
                    <w:right w:w="57" w:type="dxa"/>
                  </w:tcMar>
                </w:tcPr>
                <w:p w:rsidR="00000000" w:rsidRDefault="00D35856">
                  <w:pPr>
                    <w:keepNext w:val="0"/>
                    <w:pageBreakBefore/>
                    <w:spacing w:after="0"/>
                    <w:jc w:val="left"/>
                    <w:rPr>
                      <w:rFonts w:ascii="Arial" w:hAnsi="Arial" w:cs="Arial"/>
                      <w:sz w:val="18"/>
                      <w:szCs w:val="18"/>
                      <w:lang w:val="en-US"/>
                    </w:rPr>
                  </w:pPr>
                  <w:r>
                    <w:rPr>
                      <w:rFonts w:ascii="Arial" w:hAnsi="Arial" w:cs="Arial"/>
                      <w:sz w:val="18"/>
                      <w:szCs w:val="18"/>
                      <w:lang w:val="en-US"/>
                    </w:rPr>
                    <w:t>Yes</w:t>
                  </w:r>
                </w:p>
              </w:tc>
              <w:tc>
                <w:tcPr>
                  <w:tcW w:w="1559" w:type="dxa"/>
                  <w:tcBorders>
                    <w:top w:val="single" w:sz="4" w:space="0" w:color="auto"/>
                    <w:bottom w:val="single" w:sz="4" w:space="0" w:color="auto"/>
                  </w:tcBorders>
                  <w:tcMar>
                    <w:left w:w="57" w:type="dxa"/>
                    <w:right w:w="57" w:type="dxa"/>
                  </w:tcMar>
                </w:tcPr>
                <w:p w:rsidR="00000000" w:rsidRDefault="00D35856">
                  <w:pPr>
                    <w:keepNext w:val="0"/>
                    <w:pageBreakBefore/>
                    <w:spacing w:after="0"/>
                    <w:jc w:val="left"/>
                    <w:rPr>
                      <w:rFonts w:ascii="Arial" w:hAnsi="Arial" w:cs="Arial"/>
                      <w:sz w:val="18"/>
                      <w:szCs w:val="18"/>
                      <w:lang w:val="en-US"/>
                    </w:rPr>
                  </w:pPr>
                  <w:r>
                    <w:rPr>
                      <w:rFonts w:ascii="Arial" w:hAnsi="Arial" w:cs="Arial"/>
                      <w:sz w:val="18"/>
                      <w:szCs w:val="18"/>
                      <w:lang w:val="en-US"/>
                    </w:rPr>
                    <w:t>Government</w:t>
                  </w:r>
                </w:p>
              </w:tc>
              <w:tc>
                <w:tcPr>
                  <w:tcW w:w="2552" w:type="dxa"/>
                  <w:tcBorders>
                    <w:top w:val="single" w:sz="4" w:space="0" w:color="auto"/>
                    <w:bottom w:val="single" w:sz="4" w:space="0" w:color="auto"/>
                    <w:right w:val="single" w:sz="4" w:space="0" w:color="auto"/>
                  </w:tcBorders>
                  <w:tcMar>
                    <w:left w:w="57" w:type="dxa"/>
                    <w:right w:w="57" w:type="dxa"/>
                  </w:tcMar>
                </w:tcPr>
                <w:p w:rsidR="00000000" w:rsidRDefault="00D35856">
                  <w:pPr>
                    <w:keepNext w:val="0"/>
                    <w:pageBreakBefore/>
                    <w:spacing w:after="0"/>
                    <w:jc w:val="left"/>
                    <w:rPr>
                      <w:rFonts w:ascii="Arial" w:hAnsi="Arial" w:cs="Arial"/>
                      <w:sz w:val="18"/>
                      <w:szCs w:val="18"/>
                      <w:lang w:val="en-US"/>
                    </w:rPr>
                  </w:pPr>
                  <w:r>
                    <w:rPr>
                      <w:rFonts w:ascii="Arial" w:hAnsi="Arial" w:cs="Arial"/>
                      <w:sz w:val="18"/>
                      <w:szCs w:val="18"/>
                      <w:lang w:val="en-US"/>
                    </w:rPr>
                    <w:t>Taps, Toilets, Showerheads, Washing Machines</w:t>
                  </w:r>
                </w:p>
              </w:tc>
            </w:tr>
            <w:tr w:rsidR="00000000">
              <w:tc>
                <w:tcPr>
                  <w:tcW w:w="1081" w:type="dxa"/>
                  <w:tcBorders>
                    <w:top w:val="single" w:sz="4" w:space="0" w:color="auto"/>
                    <w:left w:val="single" w:sz="4" w:space="0" w:color="auto"/>
                    <w:bottom w:val="single" w:sz="4" w:space="0" w:color="auto"/>
                  </w:tcBorders>
                  <w:tcMar>
                    <w:left w:w="57" w:type="dxa"/>
                    <w:right w:w="57" w:type="dxa"/>
                  </w:tcMar>
                </w:tcPr>
                <w:p w:rsidR="00000000" w:rsidRDefault="00D35856">
                  <w:pPr>
                    <w:keepNext w:val="0"/>
                    <w:pageBreakBefore/>
                    <w:spacing w:after="0"/>
                    <w:jc w:val="left"/>
                    <w:rPr>
                      <w:rFonts w:ascii="Arial" w:hAnsi="Arial" w:cs="Arial"/>
                      <w:sz w:val="18"/>
                      <w:szCs w:val="18"/>
                      <w:lang w:val="en-US"/>
                    </w:rPr>
                  </w:pPr>
                  <w:smartTag w:uri="urn:schemas-microsoft-com:office:smarttags" w:element="City">
                    <w:r>
                      <w:rPr>
                        <w:rFonts w:ascii="Arial" w:hAnsi="Arial" w:cs="Arial"/>
                        <w:sz w:val="18"/>
                        <w:szCs w:val="18"/>
                        <w:lang w:val="en-US"/>
                      </w:rPr>
                      <w:t>Canada</w:t>
                    </w:r>
                  </w:smartTag>
                </w:p>
              </w:tc>
              <w:tc>
                <w:tcPr>
                  <w:tcW w:w="2077" w:type="dxa"/>
                  <w:gridSpan w:val="2"/>
                  <w:tcBorders>
                    <w:top w:val="single" w:sz="4" w:space="0" w:color="auto"/>
                    <w:bottom w:val="single" w:sz="4" w:space="0" w:color="auto"/>
                  </w:tcBorders>
                  <w:tcMar>
                    <w:left w:w="57" w:type="dxa"/>
                    <w:right w:w="57" w:type="dxa"/>
                  </w:tcMar>
                </w:tcPr>
                <w:p w:rsidR="00000000" w:rsidRDefault="00D35856">
                  <w:pPr>
                    <w:keepNext w:val="0"/>
                    <w:pageBreakBefore/>
                    <w:spacing w:after="0"/>
                    <w:jc w:val="left"/>
                    <w:rPr>
                      <w:rFonts w:ascii="Arial" w:hAnsi="Arial" w:cs="Arial"/>
                      <w:sz w:val="18"/>
                      <w:szCs w:val="18"/>
                      <w:lang w:val="en-US"/>
                    </w:rPr>
                  </w:pPr>
                  <w:r>
                    <w:rPr>
                      <w:rFonts w:ascii="Arial" w:hAnsi="Arial" w:cs="Arial"/>
                      <w:sz w:val="18"/>
                      <w:szCs w:val="18"/>
                      <w:lang w:val="en-US"/>
                    </w:rPr>
                    <w:t>Water Star</w:t>
                  </w:r>
                  <w:r>
                    <w:rPr>
                      <w:rFonts w:ascii="Arial" w:hAnsi="Arial" w:cs="Arial"/>
                      <w:sz w:val="18"/>
                      <w:szCs w:val="18"/>
                      <w:vertAlign w:val="superscript"/>
                      <w:lang w:val="en-US"/>
                    </w:rPr>
                    <w:t>6</w:t>
                  </w:r>
                </w:p>
              </w:tc>
              <w:tc>
                <w:tcPr>
                  <w:tcW w:w="992" w:type="dxa"/>
                  <w:tcBorders>
                    <w:top w:val="single" w:sz="4" w:space="0" w:color="auto"/>
                    <w:bottom w:val="single" w:sz="4" w:space="0" w:color="auto"/>
                  </w:tcBorders>
                  <w:tcMar>
                    <w:left w:w="57" w:type="dxa"/>
                    <w:right w:w="57" w:type="dxa"/>
                  </w:tcMar>
                </w:tcPr>
                <w:p w:rsidR="00000000" w:rsidRDefault="00D35856">
                  <w:pPr>
                    <w:keepNext w:val="0"/>
                    <w:pageBreakBefore/>
                    <w:spacing w:after="0"/>
                    <w:jc w:val="left"/>
                    <w:rPr>
                      <w:rFonts w:ascii="Arial" w:hAnsi="Arial" w:cs="Arial"/>
                      <w:sz w:val="18"/>
                      <w:szCs w:val="18"/>
                      <w:lang w:val="en-US"/>
                    </w:rPr>
                  </w:pPr>
                  <w:r>
                    <w:rPr>
                      <w:rFonts w:ascii="Arial" w:hAnsi="Arial" w:cs="Arial"/>
                      <w:sz w:val="18"/>
                      <w:szCs w:val="18"/>
                      <w:lang w:val="en-US"/>
                    </w:rPr>
                    <w:t>No</w:t>
                  </w:r>
                </w:p>
              </w:tc>
              <w:tc>
                <w:tcPr>
                  <w:tcW w:w="1559" w:type="dxa"/>
                  <w:tcBorders>
                    <w:top w:val="single" w:sz="4" w:space="0" w:color="auto"/>
                    <w:bottom w:val="single" w:sz="4" w:space="0" w:color="auto"/>
                  </w:tcBorders>
                  <w:tcMar>
                    <w:left w:w="57" w:type="dxa"/>
                    <w:right w:w="57" w:type="dxa"/>
                  </w:tcMar>
                </w:tcPr>
                <w:p w:rsidR="00000000" w:rsidRDefault="00D35856">
                  <w:pPr>
                    <w:keepNext w:val="0"/>
                    <w:pageBreakBefore/>
                    <w:spacing w:after="0"/>
                    <w:jc w:val="left"/>
                    <w:rPr>
                      <w:rFonts w:ascii="Arial" w:hAnsi="Arial" w:cs="Arial"/>
                      <w:sz w:val="18"/>
                      <w:szCs w:val="18"/>
                      <w:lang w:val="en-US"/>
                    </w:rPr>
                  </w:pPr>
                  <w:r>
                    <w:rPr>
                      <w:rFonts w:ascii="Arial" w:hAnsi="Arial" w:cs="Arial"/>
                      <w:sz w:val="18"/>
                      <w:szCs w:val="18"/>
                      <w:lang w:val="en-US"/>
                    </w:rPr>
                    <w:t>Canadian Water and Wastewater Association</w:t>
                  </w:r>
                </w:p>
              </w:tc>
              <w:tc>
                <w:tcPr>
                  <w:tcW w:w="2552" w:type="dxa"/>
                  <w:tcBorders>
                    <w:top w:val="single" w:sz="4" w:space="0" w:color="auto"/>
                    <w:bottom w:val="single" w:sz="4" w:space="0" w:color="auto"/>
                    <w:right w:val="single" w:sz="4" w:space="0" w:color="auto"/>
                  </w:tcBorders>
                  <w:tcMar>
                    <w:left w:w="57" w:type="dxa"/>
                    <w:right w:w="57" w:type="dxa"/>
                  </w:tcMar>
                </w:tcPr>
                <w:p w:rsidR="00000000" w:rsidRDefault="00D35856">
                  <w:pPr>
                    <w:keepNext w:val="0"/>
                    <w:pageBreakBefore/>
                    <w:spacing w:after="0"/>
                    <w:jc w:val="left"/>
                    <w:rPr>
                      <w:rFonts w:ascii="Arial" w:hAnsi="Arial" w:cs="Arial"/>
                      <w:sz w:val="18"/>
                      <w:szCs w:val="18"/>
                      <w:lang w:val="en-US"/>
                    </w:rPr>
                  </w:pPr>
                  <w:r>
                    <w:rPr>
                      <w:rFonts w:ascii="Arial" w:hAnsi="Arial" w:cs="Arial"/>
                      <w:sz w:val="18"/>
                      <w:szCs w:val="18"/>
                      <w:lang w:val="en-US"/>
                    </w:rPr>
                    <w:t>Taps, Toilets, Showerheads, Washing Machines</w:t>
                  </w:r>
                </w:p>
              </w:tc>
            </w:tr>
          </w:tbl>
          <w:p w:rsidR="00000000" w:rsidRDefault="00D35856">
            <w:pPr>
              <w:keepNext w:val="0"/>
              <w:pageBreakBefore/>
              <w:spacing w:after="0"/>
              <w:rPr>
                <w:rFonts w:ascii="Arial" w:hAnsi="Arial" w:cs="Arial"/>
                <w:sz w:val="17"/>
                <w:szCs w:val="17"/>
              </w:rPr>
            </w:pPr>
            <w:r>
              <w:rPr>
                <w:rFonts w:ascii="Arial" w:hAnsi="Arial" w:cs="Arial"/>
                <w:sz w:val="17"/>
                <w:szCs w:val="17"/>
              </w:rPr>
              <w:t>1. http://www.cecp.org.cn/</w:t>
            </w:r>
          </w:p>
          <w:p w:rsidR="00000000" w:rsidRDefault="00D35856">
            <w:pPr>
              <w:keepNext w:val="0"/>
              <w:pageBreakBefore/>
              <w:spacing w:after="0"/>
              <w:rPr>
                <w:rFonts w:ascii="Arial" w:hAnsi="Arial" w:cs="Arial"/>
                <w:sz w:val="17"/>
                <w:szCs w:val="17"/>
              </w:rPr>
            </w:pPr>
            <w:r>
              <w:rPr>
                <w:rFonts w:ascii="Arial" w:hAnsi="Arial" w:cs="Arial"/>
                <w:sz w:val="17"/>
                <w:szCs w:val="17"/>
              </w:rPr>
              <w:t>2. http://www.sec.org.sg/wels/index.php</w:t>
            </w:r>
          </w:p>
          <w:p w:rsidR="00000000" w:rsidRDefault="00D35856">
            <w:pPr>
              <w:keepNext w:val="0"/>
              <w:pageBreakBefore/>
              <w:spacing w:after="0"/>
              <w:rPr>
                <w:rFonts w:ascii="Arial" w:hAnsi="Arial" w:cs="Arial"/>
                <w:sz w:val="17"/>
                <w:szCs w:val="17"/>
              </w:rPr>
            </w:pPr>
            <w:r>
              <w:rPr>
                <w:rFonts w:ascii="Arial" w:hAnsi="Arial" w:cs="Arial"/>
                <w:sz w:val="17"/>
                <w:szCs w:val="17"/>
              </w:rPr>
              <w:t>3. http://water-efficiencylabel.org.uk/default.asp</w:t>
            </w:r>
          </w:p>
          <w:p w:rsidR="00000000" w:rsidRDefault="00D35856">
            <w:pPr>
              <w:keepNext w:val="0"/>
              <w:pageBreakBefore/>
              <w:spacing w:after="0"/>
              <w:rPr>
                <w:rFonts w:ascii="Arial" w:hAnsi="Arial" w:cs="Arial"/>
                <w:sz w:val="17"/>
                <w:szCs w:val="17"/>
              </w:rPr>
            </w:pPr>
            <w:r>
              <w:rPr>
                <w:rFonts w:ascii="Arial" w:hAnsi="Arial" w:cs="Arial"/>
                <w:sz w:val="17"/>
                <w:szCs w:val="17"/>
              </w:rPr>
              <w:t>4. www.waterwise.org.uk/reducing_water_wastage_in_the_uk/house_and_garden/waterwise_marque.html 5.http://www.consumeraffairs.govt.nz/policylawresearch/water-eff-label/discussion-document/index.html</w:t>
            </w:r>
          </w:p>
          <w:p w:rsidR="00000000" w:rsidRDefault="00D35856">
            <w:pPr>
              <w:keepNext w:val="0"/>
              <w:pageBreakBefore/>
              <w:spacing w:after="0"/>
              <w:rPr>
                <w:rFonts w:ascii="Arial" w:hAnsi="Arial" w:cs="Arial"/>
                <w:sz w:val="17"/>
                <w:szCs w:val="17"/>
              </w:rPr>
            </w:pPr>
            <w:r>
              <w:rPr>
                <w:rFonts w:ascii="Arial" w:hAnsi="Arial" w:cs="Arial"/>
                <w:sz w:val="17"/>
                <w:szCs w:val="17"/>
              </w:rPr>
              <w:t>6. http</w:t>
            </w:r>
            <w:r>
              <w:rPr>
                <w:rFonts w:ascii="Arial" w:hAnsi="Arial" w:cs="Arial"/>
                <w:sz w:val="17"/>
                <w:szCs w:val="17"/>
              </w:rPr>
              <w:t>://www.cwwa.ca/waterstar_e.asp</w:t>
            </w:r>
          </w:p>
          <w:p w:rsidR="00000000" w:rsidRDefault="00D35856">
            <w:pPr>
              <w:keepNext w:val="0"/>
              <w:pageBreakBefore/>
              <w:spacing w:after="0"/>
              <w:rPr>
                <w:rFonts w:ascii="Arial" w:hAnsi="Arial" w:cs="Arial"/>
                <w:sz w:val="17"/>
                <w:szCs w:val="17"/>
              </w:rPr>
            </w:pPr>
          </w:p>
        </w:tc>
      </w:tr>
    </w:tbl>
    <w:p w:rsidR="00000000" w:rsidRDefault="00D35856">
      <w:pPr>
        <w:keepNext w:val="0"/>
      </w:pPr>
    </w:p>
    <w:p w:rsidR="00000000" w:rsidRDefault="00D35856">
      <w:pPr>
        <w:keepNext w:val="0"/>
      </w:pPr>
      <w:smartTag w:uri="urn:schemas-microsoft-com:office:smarttags" w:element="City">
        <w:r>
          <w:t>WELS</w:t>
        </w:r>
      </w:smartTag>
      <w:r>
        <w:t xml:space="preserve"> replaced the National Water Conservation Rating and Labelling Scheme, a voluntary scheme managed by the Water Services Association of Australia (WSAA) since it was introduced in</w:t>
      </w:r>
      <w:r>
        <w:t xml:space="preserve"> 1988. George Wilkenfeld and Associates (2004) reported that this voluntary labelling scheme was not effective in achieving water savings, as only a small proportion of total available models were labelled. Informal interviews conducted for this study indi</w:t>
      </w:r>
      <w:r>
        <w:t xml:space="preserve">cate that, prior to the introduction of </w:t>
      </w:r>
      <w:smartTag w:uri="urn:schemas-microsoft-com:office:smarttags" w:element="City">
        <w:r>
          <w:t>WELS</w:t>
        </w:r>
      </w:smartTag>
      <w:r>
        <w:t xml:space="preserve">, there was widespread support from industry for a mandatory water efficiency labelling scheme. </w:t>
      </w:r>
    </w:p>
    <w:p w:rsidR="00000000" w:rsidRDefault="00D35856">
      <w:pPr>
        <w:keepNext w:val="0"/>
      </w:pPr>
      <w:smartTag w:uri="urn:schemas-microsoft-com:office:smarttags" w:element="City">
        <w:r>
          <w:t>WELS</w:t>
        </w:r>
      </w:smartTag>
      <w:r>
        <w:t xml:space="preserve"> requires all products imported or manufactured since 1 July 2006 to be registered and labelled</w:t>
      </w:r>
      <w:r>
        <w:t xml:space="preserve"> before they are sold. The following transition arrangements applied for products imported or manufactured prior to 1 July 2006:</w:t>
      </w:r>
    </w:p>
    <w:p w:rsidR="00000000" w:rsidRDefault="00D35856">
      <w:pPr>
        <w:keepNext w:val="0"/>
        <w:numPr>
          <w:ilvl w:val="0"/>
          <w:numId w:val="4"/>
        </w:numPr>
        <w:tabs>
          <w:tab w:val="clear" w:pos="720"/>
          <w:tab w:val="num" w:pos="360"/>
        </w:tabs>
        <w:ind w:left="360"/>
      </w:pPr>
      <w:r>
        <w:lastRenderedPageBreak/>
        <w:t>Unlabelled tapware, showers, lavatory and urinal equipment manufactured or imported prior to 1 July 2006 could be sold throug</w:t>
      </w:r>
      <w:r>
        <w:t>h retail outlets only until 31 December 2006.</w:t>
      </w:r>
    </w:p>
    <w:p w:rsidR="00000000" w:rsidRDefault="00D35856">
      <w:pPr>
        <w:keepNext w:val="0"/>
        <w:numPr>
          <w:ilvl w:val="0"/>
          <w:numId w:val="4"/>
        </w:numPr>
        <w:tabs>
          <w:tab w:val="clear" w:pos="720"/>
          <w:tab w:val="num" w:pos="360"/>
        </w:tabs>
        <w:ind w:left="360"/>
      </w:pPr>
      <w:r>
        <w:t>Unlabelled washing machines and dishwashers manufactured or imported prior to 1 July 2006 could be sold from manufacture/import through to retail until 31 December 2007.</w:t>
      </w:r>
    </w:p>
    <w:p w:rsidR="00000000" w:rsidRDefault="00D35856">
      <w:pPr>
        <w:keepNext w:val="0"/>
      </w:pPr>
      <w:r>
        <w:t xml:space="preserve">Registration of a </w:t>
      </w:r>
      <w:smartTag w:uri="urn:schemas-microsoft-com:office:smarttags" w:element="City">
        <w:r>
          <w:t>WELS</w:t>
        </w:r>
      </w:smartTag>
      <w:r>
        <w:t xml:space="preserve"> product</w:t>
      </w:r>
      <w:r>
        <w:t xml:space="preserve"> normally lasts for five years. If the Minister makes a change to the WELS Standard that affects the registration of a product, it needs to be re-registered (WELS Regulator, 2008). These arrangements differ from the “grandfathering” arrangements available </w:t>
      </w:r>
      <w:r>
        <w:t>to those applying under the mandatory Energy Labelling Scheme. Under this scheme, stocks of non-complying products that were manufactured in or imported to Australia prior to the effective date of legislation affecting them (eg. introduction or change of S</w:t>
      </w:r>
      <w:r>
        <w:t xml:space="preserve">tandard) can be sold for an indefinite period, provided they were properly registered before the date of new regulations (AGO 2005). </w:t>
      </w:r>
    </w:p>
    <w:p w:rsidR="00000000" w:rsidRDefault="00D35856">
      <w:pPr>
        <w:pStyle w:val="Heading2"/>
        <w:numPr>
          <w:ilvl w:val="1"/>
          <w:numId w:val="3"/>
        </w:numPr>
        <w:tabs>
          <w:tab w:val="clear" w:pos="1296"/>
        </w:tabs>
        <w:ind w:left="567" w:hanging="567"/>
        <w:rPr>
          <w:color w:val="auto"/>
        </w:rPr>
      </w:pPr>
      <w:bookmarkStart w:id="17" w:name="_Toc199933723"/>
      <w:r>
        <w:rPr>
          <w:color w:val="auto"/>
        </w:rPr>
        <w:t>Policy and drought context</w:t>
      </w:r>
      <w:bookmarkEnd w:id="17"/>
    </w:p>
    <w:p w:rsidR="00000000" w:rsidRDefault="00D35856">
      <w:pPr>
        <w:keepNext w:val="0"/>
      </w:pPr>
      <w:r>
        <w:t xml:space="preserve">The period since the commencement of </w:t>
      </w:r>
      <w:smartTag w:uri="urn:schemas-microsoft-com:office:smarttags" w:element="City">
        <w:r>
          <w:t>WELS</w:t>
        </w:r>
      </w:smartTag>
      <w:r>
        <w:t xml:space="preserve"> has coincided with severe drought across many parts of </w:t>
      </w:r>
      <w:smartTag w:uri="urn:schemas-microsoft-com:office:smarttags" w:element="City">
        <w:r>
          <w:t>Australia</w:t>
        </w:r>
      </w:smartTag>
      <w:r>
        <w:t>. Consequently, the recent water consumption decisions of water users have been influenced by multiple, interrelated factors. Some factors are directly associated with the drought (in</w:t>
      </w:r>
      <w:r>
        <w:t>cluding outdoor water use restrictions and other campaigns to raise awareness of water shortages and water efficiency), and others to ongoing demand management programs (including rebate and retrofit programs). Building regulations, targeting water efficie</w:t>
      </w:r>
      <w:r>
        <w:t xml:space="preserve">ncy, have also been introduced or strengthened to varying extents across Australian states or territories. </w:t>
      </w:r>
    </w:p>
    <w:p w:rsidR="00000000" w:rsidRDefault="00D35856">
      <w:pPr>
        <w:keepNext w:val="0"/>
      </w:pPr>
      <w:r>
        <w:t>In terms of how various programs and factors interact to create incentives to reduce water use, both complementarities as well as inconsistencies ex</w:t>
      </w:r>
      <w:r>
        <w:t xml:space="preserve">ist. However, quantitative modelling of the complex interactions between </w:t>
      </w:r>
      <w:smartTag w:uri="urn:schemas-microsoft-com:office:smarttags" w:element="City">
        <w:r>
          <w:t>WELS</w:t>
        </w:r>
      </w:smartTag>
      <w:r>
        <w:t xml:space="preserve"> and other programs, in order to precisely determine the extent of water savings attributable to </w:t>
      </w:r>
      <w:smartTag w:uri="urn:schemas-microsoft-com:office:smarttags" w:element="City">
        <w:r>
          <w:t>WELS</w:t>
        </w:r>
      </w:smartTag>
      <w:r>
        <w:t xml:space="preserve"> to date, would not necessarily yield meaningful results. The oppo</w:t>
      </w:r>
      <w:r>
        <w:t xml:space="preserve">rtunity for more complex modelling is likely to arise in future years, as data becomes more comprehensive and a longer time series becomes available to enable evaluation of the effectiveness (or cost-effectiveness) of other policies and programs. However, </w:t>
      </w:r>
      <w:r>
        <w:t xml:space="preserve">there are always difficulties in determining the hypothetical base case (without </w:t>
      </w:r>
      <w:smartTag w:uri="urn:schemas-microsoft-com:office:smarttags" w:element="City">
        <w:r>
          <w:t>WELS</w:t>
        </w:r>
      </w:smartTag>
      <w:r>
        <w:t>) and attributing savings where multiple programs are in operation.</w:t>
      </w:r>
    </w:p>
    <w:p w:rsidR="00000000" w:rsidRDefault="00D35856">
      <w:pPr>
        <w:keepNext w:val="0"/>
      </w:pPr>
      <w:r>
        <w:t xml:space="preserve">Prior to </w:t>
      </w:r>
      <w:smartTag w:uri="urn:schemas-microsoft-com:office:smarttags" w:element="City">
        <w:r>
          <w:t>WELS</w:t>
        </w:r>
      </w:smartTag>
      <w:r>
        <w:t>, various stakeholders (including manufacturers, importers and the plumbin</w:t>
      </w:r>
      <w:r>
        <w:t>g industry) were already required to meet different standards and regulations – a situation not unique to these industry sectors. For plumbing products, legislation and standards (such as the WaterMark scheme) covered aspects such as the quality of fitting</w:t>
      </w:r>
      <w:r>
        <w:t>s and minimum flow rates. AS 3500 has specified the maximum allowable water use per flush for toilets since around 1993 – although this was not made mandatory in some states until recently. Energy labelling has been mandatory for washing machines and dishw</w:t>
      </w:r>
      <w:r>
        <w:t xml:space="preserve">ashers since 1998. In this context, this study acknowledges (where possible) </w:t>
      </w:r>
      <w:r>
        <w:lastRenderedPageBreak/>
        <w:t xml:space="preserve">how issues of consistency, overlap and additionality between </w:t>
      </w:r>
      <w:smartTag w:uri="urn:schemas-microsoft-com:office:smarttags" w:element="City">
        <w:r>
          <w:t>WELS</w:t>
        </w:r>
      </w:smartTag>
      <w:r>
        <w:t xml:space="preserve"> and other regulations can result in a regulatory burden on industry.</w:t>
      </w:r>
    </w:p>
    <w:p w:rsidR="00000000" w:rsidRDefault="00D35856">
      <w:pPr>
        <w:keepNext w:val="0"/>
      </w:pPr>
      <w:r>
        <w:t xml:space="preserve">At the time of this study, the </w:t>
      </w:r>
      <w:smartTag w:uri="urn:schemas-microsoft-com:office:smarttags" w:element="City">
        <w:r>
          <w:t>WELS</w:t>
        </w:r>
      </w:smartTag>
      <w:r>
        <w:t xml:space="preserve"> program has not been in place for sufficient duration to conduct an ex-post statistical evaluation of water savings, costs and benefits. This has limited the extent to which the factors described above have been quantitatively modelled in projectio</w:t>
      </w:r>
      <w:r>
        <w:t>ns of the cost-effectiveness of the scheme, going forward. Nevertheless, where these might substantially affect impacts or water savings, these influences have been noted and analysed throughout this report.</w:t>
      </w:r>
    </w:p>
    <w:p w:rsidR="00000000" w:rsidRDefault="00D35856">
      <w:pPr>
        <w:pStyle w:val="Heading2"/>
        <w:numPr>
          <w:ilvl w:val="1"/>
          <w:numId w:val="3"/>
        </w:numPr>
        <w:tabs>
          <w:tab w:val="clear" w:pos="1296"/>
        </w:tabs>
        <w:ind w:left="567" w:hanging="567"/>
        <w:rPr>
          <w:color w:val="auto"/>
        </w:rPr>
      </w:pPr>
      <w:bookmarkStart w:id="18" w:name="_Toc199933724"/>
      <w:r>
        <w:rPr>
          <w:color w:val="auto"/>
        </w:rPr>
        <w:t>Report outline</w:t>
      </w:r>
      <w:bookmarkEnd w:id="18"/>
    </w:p>
    <w:p w:rsidR="00000000" w:rsidRDefault="00D35856">
      <w:pPr>
        <w:keepNext w:val="0"/>
      </w:pPr>
      <w:r>
        <w:t xml:space="preserve">An </w:t>
      </w:r>
      <w:r>
        <w:t xml:space="preserve">outline of the report is given in </w:t>
      </w:r>
      <w:fldSimple w:instr=" REF _Ref188067194 \h  \* MERGEFORMAT ">
        <w:r>
          <w:t xml:space="preserve">Figure </w:t>
        </w:r>
        <w:r>
          <w:rPr>
            <w:noProof/>
          </w:rPr>
          <w:t>1</w:t>
        </w:r>
        <w:r>
          <w:rPr>
            <w:noProof/>
          </w:rPr>
          <w:noBreakHyphen/>
          <w:t>1</w:t>
        </w:r>
      </w:fldSimple>
      <w:r>
        <w:t>. Following this introduction, the conceptual approach to analysis is described in Section 2. Section 3 ana</w:t>
      </w:r>
      <w:r>
        <w:t xml:space="preserve">lyses the water savings from </w:t>
      </w:r>
      <w:smartTag w:uri="urn:schemas-microsoft-com:office:smarttags" w:element="City">
        <w:r>
          <w:t>WELS</w:t>
        </w:r>
      </w:smartTag>
      <w:r>
        <w:t xml:space="preserve"> in the context of other factors such as rebates, the recent drought and changes to building regulations. Section 4 assesses the costs and benefits associated with </w:t>
      </w:r>
      <w:smartTag w:uri="urn:schemas-microsoft-com:office:smarttags" w:element="City">
        <w:r>
          <w:t>WELS</w:t>
        </w:r>
      </w:smartTag>
      <w:r>
        <w:t>. Combining the water savings and cost/</w:t>
      </w:r>
      <w:r>
        <w:t xml:space="preserve">benefit analysis, Section 5 details the results of cost effectiveness analysis ($/kL) comparing </w:t>
      </w:r>
      <w:smartTag w:uri="urn:schemas-microsoft-com:office:smarttags" w:element="City">
        <w:r>
          <w:t>WELS</w:t>
        </w:r>
      </w:smartTag>
      <w:r>
        <w:t xml:space="preserve"> with other options for urban water savings. Section 6 concludes with a summary of key points and a discussion of next steps relating to modelling, </w:t>
      </w:r>
      <w:r>
        <w:t xml:space="preserve">evaluation and </w:t>
      </w:r>
      <w:smartTag w:uri="urn:schemas-microsoft-com:office:smarttags" w:element="City">
        <w:r>
          <w:t>WELS</w:t>
        </w:r>
      </w:smartTag>
      <w:r>
        <w:t xml:space="preserve"> in general. </w:t>
      </w:r>
    </w:p>
    <w:p w:rsidR="00000000" w:rsidRDefault="00D35856">
      <w:pPr>
        <w:pStyle w:val="Caption"/>
        <w:keepNext w:val="0"/>
      </w:pPr>
      <w:bookmarkStart w:id="19" w:name="_Ref188067194"/>
      <w:bookmarkStart w:id="20" w:name="_Toc191475249"/>
      <w:bookmarkStart w:id="21" w:name="_Toc199933812"/>
      <w:r>
        <w:t xml:space="preserve">Figure </w:t>
      </w:r>
      <w:r>
        <w:fldChar w:fldCharType="begin"/>
      </w:r>
      <w:r>
        <w:instrText xml:space="preserve"> STYLEREF 1 \s </w:instrText>
      </w:r>
      <w:r>
        <w:fldChar w:fldCharType="separate"/>
      </w:r>
      <w:r>
        <w:rPr>
          <w:noProof/>
        </w:rPr>
        <w:t>1</w:t>
      </w:r>
      <w:r>
        <w:fldChar w:fldCharType="end"/>
      </w:r>
      <w:r>
        <w:noBreakHyphen/>
      </w:r>
      <w:r>
        <w:fldChar w:fldCharType="begin"/>
      </w:r>
      <w:r>
        <w:instrText xml:space="preserve"> SEQ Figure \* ARABIC \s 1 </w:instrText>
      </w:r>
      <w:r>
        <w:fldChar w:fldCharType="separate"/>
      </w:r>
      <w:r>
        <w:rPr>
          <w:noProof/>
        </w:rPr>
        <w:t>1</w:t>
      </w:r>
      <w:r>
        <w:fldChar w:fldCharType="end"/>
      </w:r>
      <w:bookmarkEnd w:id="19"/>
      <w:r>
        <w:t>: Outline of report</w:t>
      </w:r>
      <w:bookmarkEnd w:id="20"/>
      <w:bookmarkEnd w:id="21"/>
    </w:p>
    <w:p w:rsidR="00000000" w:rsidRDefault="00D35856">
      <w:pPr>
        <w:keepNext w:val="0"/>
        <w:jc w:val="center"/>
      </w:pPr>
      <w:r>
        <w:rPr>
          <w:noProof/>
          <w:lang w:eastAsia="en-AU"/>
        </w:rPr>
      </w:r>
      <w:r w:rsidR="00D87CE9">
        <w:pict>
          <v:group id="_x0000_s1026" editas="canvas" alt="Flowchart showing outline of report" style="width:311.9pt;height:253.65pt;mso-position-horizontal-relative:char;mso-position-vertical-relative:line" coordorigin="-57" coordsize="6238,507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7;width:6238;height:5073" o:preferrelative="f">
              <v:fill o:detectmouseclick="t"/>
              <v:path o:extrusionok="t" o:connecttype="none"/>
              <o:lock v:ext="edit" text="t"/>
            </v:shape>
            <v:rect id="_x0000_s1028" style="position:absolute;left:7;top:1534;width:2555;height:519" filled="f">
              <v:stroke endcap="round"/>
            </v:rect>
            <v:rect id="_x0000_s1029" style="position:absolute;left:113;top:1696;width:1920;height:387;mso-wrap-style:none" filled="f" stroked="f">
              <v:textbox style="mso-next-textbox:#_x0000_s1029;mso-fit-shape-to-text:t" inset="0,0,0,0">
                <w:txbxContent>
                  <w:p w:rsidR="00000000" w:rsidRDefault="00D35856">
                    <w:r>
                      <w:rPr>
                        <w:rFonts w:ascii="Arial Narrow" w:hAnsi="Arial Narrow" w:cs="Arial Narrow"/>
                        <w:color w:val="000000"/>
                        <w:sz w:val="18"/>
                        <w:szCs w:val="18"/>
                      </w:rPr>
                      <w:t>3. Water Savings from WELS</w:t>
                    </w:r>
                  </w:p>
                </w:txbxContent>
              </v:textbox>
            </v:rect>
            <v:rect id="_x0000_s1030" style="position:absolute;left:1718;top:731;width:2638;height:543" filled="f">
              <v:stroke endcap="round"/>
            </v:rect>
            <v:rect id="_x0000_s1031" style="position:absolute;left:2071;top:906;width:1584;height:387;mso-wrap-style:none" filled="f" stroked="f">
              <v:textbox style="mso-next-textbox:#_x0000_s1031;mso-fit-shape-to-text:t" inset="0,0,0,0">
                <w:txbxContent>
                  <w:p w:rsidR="00000000" w:rsidRDefault="00D35856">
                    <w:r>
                      <w:rPr>
                        <w:rFonts w:ascii="Arial Narrow" w:hAnsi="Arial Narrow" w:cs="Arial Narrow"/>
                        <w:color w:val="000000"/>
                        <w:sz w:val="18"/>
                        <w:szCs w:val="18"/>
                      </w:rPr>
                      <w:t>2. Conceptual Approach</w:t>
                    </w:r>
                  </w:p>
                </w:txbxContent>
              </v:textbox>
            </v:rect>
            <v:rect id="_x0000_s1032" style="position:absolute;left:3329;top:1522;width:2824;height:541" filled="f">
              <v:stroke endcap="round"/>
            </v:rect>
            <v:rect id="_x0000_s1033" style="position:absolute;left:3504;top:1694;width:2027;height:387;mso-wrap-style:none" filled="f" stroked="f">
              <v:textbox style="mso-next-textbox:#_x0000_s1033;mso-fit-shape-to-text:t" inset="0,0,0,0">
                <w:txbxContent>
                  <w:p w:rsidR="00000000" w:rsidRDefault="00D35856">
                    <w:r>
                      <w:rPr>
                        <w:rFonts w:ascii="Arial Narrow" w:hAnsi="Arial Narrow" w:cs="Arial Narrow"/>
                        <w:color w:val="000000"/>
                        <w:sz w:val="18"/>
                        <w:szCs w:val="18"/>
                      </w:rPr>
                      <w:t>4. Costs and Benefits of WELS</w:t>
                    </w:r>
                  </w:p>
                </w:txbxContent>
              </v:textbox>
            </v:rect>
            <v:rect id="_x0000_s1034" style="position:absolute;left:1723;top:5;width:2626;height:531" filled="f">
              <v:stroke endcap="round"/>
            </v:rect>
            <v:rect id="_x0000_s1035" style="position:absolute;left:2465;top:174;width:936;height:387;mso-wrap-style:none" filled="f" stroked="f">
              <v:textbox style="mso-next-textbox:#_x0000_s1035;mso-fit-shape-to-text:t" inset="0,0,0,0">
                <w:txbxContent>
                  <w:p w:rsidR="00000000" w:rsidRDefault="00D35856">
                    <w:r>
                      <w:rPr>
                        <w:rFonts w:ascii="Arial Narrow" w:hAnsi="Arial Narrow" w:cs="Arial Narrow"/>
                        <w:color w:val="000000"/>
                        <w:sz w:val="18"/>
                        <w:szCs w:val="18"/>
                      </w:rPr>
                      <w:t>1. Introduction</w:t>
                    </w:r>
                  </w:p>
                </w:txbxContent>
              </v:textbox>
            </v:rect>
            <v:rect id="_x0000_s1036" style="position:absolute;left:1626;top:2445;width:2823;height:575" filled="f">
              <v:stroke endcap="round"/>
            </v:rect>
            <v:rect id="_x0000_s1037" style="position:absolute;left:1686;top:2530;width:2216;height:387;mso-wrap-style:none" filled="f" stroked="f">
              <v:textbox style="mso-next-textbox:#_x0000_s1037;mso-fit-shape-to-text:t" inset="0,0,0,0">
                <w:txbxContent>
                  <w:p w:rsidR="00000000" w:rsidRDefault="00D35856">
                    <w:r>
                      <w:rPr>
                        <w:rFonts w:ascii="Arial Narrow" w:hAnsi="Arial Narrow" w:cs="Arial Narrow"/>
                        <w:color w:val="000000"/>
                        <w:sz w:val="18"/>
                        <w:szCs w:val="18"/>
                      </w:rPr>
                      <w:t>5. Comparative cost effectiveness</w:t>
                    </w:r>
                  </w:p>
                </w:txbxContent>
              </v:textbox>
            </v:rect>
            <v:rect id="_x0000_s1038" style="position:absolute;left:2400;top:2742;width:1157;height:387;mso-wrap-style:none" filled="f" stroked="f">
              <v:textbox style="mso-next-textbox:#_x0000_s1038;mso-fit-shape-to-text:t" inset="0,0,0,0">
                <w:txbxContent>
                  <w:p w:rsidR="00000000" w:rsidRDefault="00D35856">
                    <w:r>
                      <w:rPr>
                        <w:rFonts w:ascii="Arial Narrow" w:hAnsi="Arial Narrow" w:cs="Arial Narrow"/>
                        <w:color w:val="000000"/>
                        <w:sz w:val="18"/>
                        <w:szCs w:val="18"/>
                      </w:rPr>
                      <w:t>analysis of WELS</w:t>
                    </w:r>
                  </w:p>
                </w:txbxContent>
              </v:textbox>
            </v:rect>
            <v:rect id="_x0000_s1039" style="position:absolute;left:1626;top:3259;width:2823;height:576" filled="f">
              <v:stroke endcap="round"/>
            </v:rect>
            <v:rect id="_x0000_s1040" style="position:absolute;left:1767;top:3306;width:2565;height:413" filled="f" stroked="f">
              <v:textbox style="mso-next-textbox:#_x0000_s1040;mso-fit-shape-to-text:t" inset="0,0,0,0">
                <w:txbxContent>
                  <w:p w:rsidR="00000000" w:rsidRDefault="00D35856">
                    <w:pPr>
                      <w:spacing w:after="0"/>
                      <w:jc w:val="center"/>
                    </w:pPr>
                    <w:r>
                      <w:rPr>
                        <w:rFonts w:ascii="Arial Narrow" w:hAnsi="Arial Narrow" w:cs="Arial Narrow"/>
                        <w:color w:val="000000"/>
                        <w:sz w:val="18"/>
                        <w:szCs w:val="18"/>
                      </w:rPr>
                      <w:t>6. Opportunities for innovation and improvement</w:t>
                    </w:r>
                  </w:p>
                </w:txbxContent>
              </v:textbox>
            </v:rect>
            <v:shape id="_x0000_s1041" style="position:absolute;left:2977;top:528;width:121;height:203" coordsize="400,842" path="m229,33r5,475hdc234,527,219,542,201,542v-19,,-34,-15,-34,-33hal162,34hdc162,15,177,,195,v19,,34,15,34,33haxm400,440l204,842,,444r400,-4xe" fillcolor="black" strokeweight=".15pt">
              <v:stroke joinstyle="bevel"/>
              <v:path arrowok="t"/>
              <o:lock v:ext="edit" verticies="t"/>
            </v:shape>
            <v:shape id="_x0000_s1042" style="position:absolute;left:1225;top:1266;width:1824;height:268" coordsize="6067,1109" path="m6067,34r,533hdc6067,586,6052,600,6034,600hal200,600r34,-33l234,775hdc234,794,219,809,200,809v-18,,-33,-15,-33,-34hal167,567hdc167,549,182,534,200,534hal6034,534r-34,33l6000,34hdc6000,15,6015,,6034,v18,,33,15,33,34haxm400,709l200,1109,,709r400,xe" fillcolor="black" strokeweight=".15pt">
              <v:stroke joinstyle="bevel"/>
              <v:path arrowok="t"/>
              <o:lock v:ext="edit" verticies="t"/>
            </v:shape>
            <v:shape id="_x0000_s1043" style="position:absolute;left:3028;top:1266;width:1774;height:256" coordsize="5900,1059" path="m67,34r,508l34,509r5666,hdc5719,509,5734,524,5734,542hal5734,725hdc5734,744,5719,759,5700,759v-18,,-33,-15,-33,-34hal5667,542r33,33l34,575hdc15,575,,561,,542hal,34hdc,15,15,,34,,52,,67,15,67,34haxm5900,659r-200,400l5500,659r400,xe" fillcolor="black" strokeweight=".15pt">
              <v:stroke joinstyle="bevel"/>
              <v:path arrowok="t"/>
              <o:lock v:ext="edit" verticies="t"/>
            </v:shape>
            <v:shape id="_x0000_s1044" style="position:absolute;left:2978;top:2055;width:1774;height:390" coordsize="5900,1617" path="m5900,33r,784hdc5900,835,5885,850,5866,850hal200,850r33,-33l233,1283hdc233,1302,218,1317,200,1317v-19,,-34,-15,-34,-34hal166,817hdc166,798,181,783,200,783hal5866,783r-33,34l5833,33hdc5833,15,5848,,5866,v19,,34,15,34,33haxm400,1217l200,1617,,1217r400,xe" fillcolor="black" strokeweight=".15pt">
              <v:stroke joinstyle="bevel"/>
              <v:path arrowok="t"/>
              <o:lock v:ext="edit" verticies="t"/>
            </v:shape>
            <v:shape id="_x0000_s1045" style="position:absolute;left:2978;top:3012;width:121;height:247" coordsize="400,1025" path="m233,33r,658hdc233,710,218,725,200,725v-19,,-34,-15,-34,-34hal166,33hdc166,15,181,,200,v18,,33,15,33,33haxm400,625l200,1025,,625r400,xe" fillcolor="black" strokeweight=".15pt">
              <v:stroke joinstyle="bevel"/>
              <v:path arrowok="t"/>
              <o:lock v:ext="edit" verticies="t"/>
            </v:shape>
            <v:shape id="_x0000_s1046" style="position:absolute;left:1275;top:2044;width:1824;height:401" coordsize="6067,1659" path="m67,34r,808l33,809r5834,hdc5885,809,5900,824,5900,842hal5900,1325hdc5900,1344,5885,1359,5867,1359v-19,,-34,-15,-34,-34hal5833,842r34,33l33,875hdc15,875,,861,,842hal,34hdc,15,15,,33,,52,,67,15,67,34haxm6067,1259r-200,400l5667,1259r400,xe" fillcolor="black" strokeweight=".15pt">
              <v:stroke joinstyle="bevel"/>
              <v:path arrowok="t"/>
              <o:lock v:ext="edit" verticies="t"/>
            </v:shape>
            <v:shape id="_x0000_s1047" style="position:absolute;left:2552;top:1745;width:777;height:96" coordsize="2583,400" path="m33,166r2217,hdc2269,166,2283,181,2283,200v,18,-14,33,-33,33hal33,233hdc15,233,,218,,200,,181,15,166,33,166haxm2183,r400,200l2183,400,2183,xe" fillcolor="black" strokeweight=".15pt">
              <v:stroke joinstyle="bevel"/>
              <v:path arrowok="t"/>
              <o:lock v:ext="edit" verticies="t"/>
            </v:shape>
            <v:rect id="_x0000_s1048" style="position:absolute;left:7;top:1534;width:2555;height:519" filled="f">
              <v:stroke endcap="round"/>
            </v:rect>
            <v:rect id="_x0000_s1049" style="position:absolute;left:1718;top:731;width:2638;height:543" filled="f">
              <v:stroke endcap="round"/>
            </v:rect>
            <v:rect id="_x0000_s1050" style="position:absolute;left:3329;top:1522;width:2824;height:541" filled="f">
              <v:stroke endcap="round"/>
            </v:rect>
            <v:rect id="_x0000_s1051" style="position:absolute;left:1723;top:5;width:2626;height:531" filled="f">
              <v:stroke endcap="round"/>
            </v:rect>
            <v:rect id="_x0000_s1052" style="position:absolute;left:1626;top:2445;width:2823;height:575" filled="f">
              <v:stroke endcap="round"/>
            </v:rect>
            <v:rect id="_x0000_s1053" style="position:absolute;left:1626;top:3259;width:2823;height:576" filled="f">
              <v:stroke endcap="round"/>
            </v:rect>
            <v:shape id="_x0000_s1054" style="position:absolute;left:2977;top:528;width:121;height:203" coordsize="400,842" path="m229,33r5,475hdc234,527,219,542,201,542v-19,,-34,-15,-34,-33hal162,34hdc162,15,177,,195,v19,,34,15,34,33haxm400,440l204,842,,444r400,-4xe" fillcolor="black" strokeweight=".15pt">
              <v:stroke joinstyle="bevel"/>
              <v:path arrowok="t"/>
              <o:lock v:ext="edit" verticies="t"/>
            </v:shape>
            <v:shape id="_x0000_s1055" style="position:absolute;left:1225;top:1266;width:1824;height:268" coordsize="6067,1109" path="m6067,34r,533hdc6067,586,6052,600,6034,600hal200,600r34,-33l234,775hdc234,794,219,809,200,809v-18,,-33,-15,-33,-34hal167,567hdc167,549,182,534,200,534hal6034,534r-34,33l6000,34hdc6000,15,6015,,6034,v18,,33,15,33,34haxm400,709l200,1109,,709r400,xe" fillcolor="black" strokeweight=".15pt">
              <v:stroke joinstyle="bevel"/>
              <v:path arrowok="t"/>
              <o:lock v:ext="edit" verticies="t"/>
            </v:shape>
            <v:shape id="_x0000_s1056" style="position:absolute;left:3028;top:1266;width:1774;height:256" coordsize="5900,1059" path="m67,34r,508l34,509r5666,hdc5719,509,5734,524,5734,542hal5734,725hdc5734,744,5719,759,5700,759v-18,,-33,-15,-33,-34hal5667,542r33,33l34,575hdc15,575,,561,,542hal,34hdc,15,15,,34,,52,,67,15,67,34haxm5900,659r-200,400l5500,659r400,xe" fillcolor="black" strokeweight=".15pt">
              <v:stroke joinstyle="bevel"/>
              <v:path arrowok="t"/>
              <o:lock v:ext="edit" verticies="t"/>
            </v:shape>
            <v:shape id="_x0000_s1057" style="position:absolute;left:2978;top:2055;width:1774;height:390" coordsize="5900,1617" path="m5900,33r,784hdc5900,835,5885,850,5866,850hal200,850r33,-33l233,1283hdc233,1302,218,1317,200,1317v-19,,-34,-15,-34,-34hal166,817hdc166,798,181,783,200,783hal5866,783r-33,34l5833,33hdc5833,15,5848,,5866,v19,,34,15,34,33haxm400,1217l200,1617,,1217r400,xe" fillcolor="black" strokeweight=".15pt">
              <v:stroke joinstyle="bevel"/>
              <v:path arrowok="t"/>
              <o:lock v:ext="edit" verticies="t"/>
            </v:shape>
            <v:shape id="_x0000_s1058" style="position:absolute;left:2978;top:3012;width:121;height:247" coordsize="400,1025" path="m233,33r,658hdc233,710,218,725,200,725v-19,,-34,-15,-34,-34hal166,33hdc166,15,181,,200,v18,,33,15,33,33haxm400,625l200,1025,,625r400,xe" fillcolor="black" strokeweight=".15pt">
              <v:stroke joinstyle="bevel"/>
              <v:path arrowok="t"/>
              <o:lock v:ext="edit" verticies="t"/>
            </v:shape>
            <v:shape id="_x0000_s1059" style="position:absolute;left:1275;top:2044;width:1824;height:401" coordsize="6067,1659" path="m67,34r,808l33,809r5834,hdc5885,809,5900,824,5900,842hal5900,1325hdc5900,1344,5885,1359,5867,1359v-19,,-34,-15,-34,-34hal5833,842r34,33l33,875hdc15,875,,861,,842hal,34hdc,15,15,,33,,52,,67,15,67,34haxm6067,1259r-200,400l5667,1259r400,xe" fillcolor="black" strokeweight=".15pt">
              <v:stroke joinstyle="bevel"/>
              <v:path arrowok="t"/>
              <o:lock v:ext="edit" verticies="t"/>
            </v:shape>
            <v:shape id="_x0000_s1060" style="position:absolute;left:2552;top:1745;width:777;height:96" coordsize="2583,400" path="m33,166r2217,hdc2269,166,2283,181,2283,200v,18,-14,33,-33,33hal33,233hdc15,233,,218,,200,,181,15,166,33,166haxm2183,r400,200l2183,400,2183,xe" fillcolor="black" strokeweight=".15pt">
              <v:stroke joinstyle="bevel"/>
              <v:path arrowok="t"/>
              <o:lock v:ext="edit" verticies="t"/>
            </v:shape>
            <v:rect id="_x0000_s1061" style="position:absolute;left:1626;top:4171;width:2823;height:576" filled="f">
              <v:stroke endcap="round"/>
            </v:rect>
            <v:rect id="_x0000_s1062" style="position:absolute;left:1767;top:4218;width:2565;height:207" filled="f" stroked="f">
              <v:textbox style="mso-next-textbox:#_x0000_s1062;mso-fit-shape-to-text:t" inset="0,0,0,0">
                <w:txbxContent>
                  <w:p w:rsidR="00000000" w:rsidRDefault="00D35856">
                    <w:pPr>
                      <w:spacing w:after="0"/>
                      <w:jc w:val="center"/>
                    </w:pPr>
                    <w:r>
                      <w:rPr>
                        <w:rFonts w:ascii="Arial Narrow" w:hAnsi="Arial Narrow" w:cs="Arial Narrow"/>
                        <w:color w:val="000000"/>
                        <w:sz w:val="18"/>
                        <w:szCs w:val="18"/>
                      </w:rPr>
                      <w:t>7. Summary of findings</w:t>
                    </w:r>
                  </w:p>
                </w:txbxContent>
              </v:textbox>
            </v:rect>
            <v:shape id="_x0000_s1063" style="position:absolute;left:2978;top:3924;width:121;height:247;mso-position-horizontal:absolute;mso-position-vertical:absolute" coordsize="400,1025" path="m233,33r,658hdc233,710,218,725,200,725v-19,,-34,-15,-34,-34hal166,33hdc166,15,181,,200,v18,,33,15,33,33haxm400,625l200,1025,,625r400,xe" fillcolor="black" strokeweight=".15pt">
              <v:stroke joinstyle="bevel"/>
              <v:path arrowok="t"/>
              <o:lock v:ext="edit" verticies="t"/>
            </v:shape>
            <v:rect id="_x0000_s1064" style="position:absolute;left:1626;top:4171;width:2823;height:576" filled="f">
              <v:stroke endcap="round"/>
            </v:rect>
            <v:shape id="_x0000_s1065" style="position:absolute;left:2978;top:3924;width:121;height:247;mso-position-horizontal:absolute;mso-position-vertical:absolute" coordsize="400,1025" path="m233,33r,658hdc233,710,218,725,200,725v-19,,-34,-15,-34,-34hal166,33hdc166,15,181,,200,v18,,33,15,33,33haxm400,625l200,1025,,625r400,xe" fillcolor="black" strokeweight=".15pt">
              <v:stroke joinstyle="bevel"/>
              <v:path arrowok="t"/>
              <o:lock v:ext="edit" verticies="t"/>
            </v:shape>
            <w10:anchorlock/>
          </v:group>
        </w:pict>
      </w:r>
    </w:p>
    <w:p w:rsidR="00000000" w:rsidRDefault="00D35856">
      <w:pPr>
        <w:keepNext w:val="0"/>
      </w:pPr>
    </w:p>
    <w:p w:rsidR="00000000" w:rsidRDefault="00D35856">
      <w:pPr>
        <w:keepNext w:val="0"/>
        <w:tabs>
          <w:tab w:val="left" w:pos="7757"/>
        </w:tabs>
      </w:pPr>
      <w:r>
        <w:tab/>
      </w:r>
    </w:p>
    <w:p w:rsidR="00000000" w:rsidRDefault="00D35856">
      <w:pPr>
        <w:pStyle w:val="Heading1"/>
        <w:numPr>
          <w:ilvl w:val="0"/>
          <w:numId w:val="3"/>
        </w:numPr>
        <w:tabs>
          <w:tab w:val="clear" w:pos="1152"/>
        </w:tabs>
        <w:ind w:left="567" w:hanging="567"/>
        <w:rPr>
          <w:color w:val="auto"/>
        </w:rPr>
      </w:pPr>
      <w:bookmarkStart w:id="22" w:name="_Toc199933725"/>
      <w:r>
        <w:rPr>
          <w:color w:val="auto"/>
        </w:rPr>
        <w:lastRenderedPageBreak/>
        <w:t>Conceptual approach</w:t>
      </w:r>
      <w:bookmarkEnd w:id="22"/>
      <w:r>
        <w:rPr>
          <w:color w:val="auto"/>
        </w:rPr>
        <w:t xml:space="preserve"> </w:t>
      </w:r>
    </w:p>
    <w:p w:rsidR="00000000" w:rsidRDefault="00D35856">
      <w:pPr>
        <w:pStyle w:val="Heading2"/>
        <w:numPr>
          <w:ilvl w:val="1"/>
          <w:numId w:val="3"/>
        </w:numPr>
        <w:tabs>
          <w:tab w:val="clear" w:pos="1296"/>
        </w:tabs>
        <w:ind w:left="567" w:hanging="567"/>
        <w:rPr>
          <w:color w:val="auto"/>
        </w:rPr>
      </w:pPr>
      <w:bookmarkStart w:id="23" w:name="_Toc199933726"/>
      <w:r>
        <w:rPr>
          <w:color w:val="auto"/>
        </w:rPr>
        <w:t>Overview</w:t>
      </w:r>
      <w:bookmarkEnd w:id="23"/>
    </w:p>
    <w:p w:rsidR="00000000" w:rsidRDefault="00D35856">
      <w:pPr>
        <w:keepNext w:val="0"/>
      </w:pPr>
      <w:r>
        <w:t xml:space="preserve">The underlying conceptual approach applied in this study is </w:t>
      </w:r>
      <w:r>
        <w:rPr>
          <w:i/>
        </w:rPr>
        <w:t>cost-effectiveness analysis</w:t>
      </w:r>
      <w:r>
        <w:t>. This is a technique that can be used to compare different options which have a common or similar type of predominant effect or objective, which is measur</w:t>
      </w:r>
      <w:r>
        <w:t xml:space="preserve">ed in physical units. </w:t>
      </w:r>
    </w:p>
    <w:p w:rsidR="00000000" w:rsidRDefault="00D35856">
      <w:pPr>
        <w:keepNext w:val="0"/>
      </w:pPr>
      <w:r>
        <w:t xml:space="preserve">In this study, the predominant benefit is contribution to water security – measured in terms of </w:t>
      </w:r>
      <w:r>
        <w:rPr>
          <w:b/>
        </w:rPr>
        <w:t>water saved</w:t>
      </w:r>
      <w:r>
        <w:t xml:space="preserve"> (in the case of WELS and other water efficiency options) or </w:t>
      </w:r>
      <w:r>
        <w:rPr>
          <w:b/>
        </w:rPr>
        <w:t>water supplied</w:t>
      </w:r>
      <w:r>
        <w:t xml:space="preserve"> (in the case of supply or re-use options). Cost-ef</w:t>
      </w:r>
      <w:r>
        <w:t>fectiveness analysis requires that the other costs and benefits of each option are quantified, where possible, in monetary terms.</w:t>
      </w:r>
    </w:p>
    <w:p w:rsidR="00000000" w:rsidRDefault="00D35856">
      <w:pPr>
        <w:keepNext w:val="0"/>
      </w:pPr>
      <w:r>
        <w:t>Unlike cost-benefit analysis, cost-effectiveness analysis provides no absolute criterion for accepting or rejecting a policy o</w:t>
      </w:r>
      <w:r>
        <w:t>r program (COAG 2007). However, in the context of urban water management, which requires comparison of a large number of different options, cost-effectiveness analysis is the appropriate approach. It is also consistent with previous work by ISF on developm</w:t>
      </w:r>
      <w:r>
        <w:t xml:space="preserve">ent of Australian and international guidelines for urban water management costing and options analysis (Mitchell </w:t>
      </w:r>
      <w:r>
        <w:rPr>
          <w:i/>
        </w:rPr>
        <w:t>et al., 2007</w:t>
      </w:r>
      <w:r>
        <w:t xml:space="preserve">, Turner </w:t>
      </w:r>
      <w:r>
        <w:rPr>
          <w:i/>
        </w:rPr>
        <w:t xml:space="preserve">et al., </w:t>
      </w:r>
      <w:r>
        <w:t>2007).</w:t>
      </w:r>
    </w:p>
    <w:p w:rsidR="00000000" w:rsidRDefault="00D35856">
      <w:pPr>
        <w:keepNext w:val="0"/>
        <w:spacing w:after="80"/>
      </w:pPr>
      <w:r>
        <w:t>This chapter describes key characteristics of the conceptual approach applied in this study, including:</w:t>
      </w:r>
    </w:p>
    <w:p w:rsidR="00000000" w:rsidRDefault="00D35856">
      <w:pPr>
        <w:keepNext w:val="0"/>
        <w:numPr>
          <w:ilvl w:val="0"/>
          <w:numId w:val="4"/>
        </w:numPr>
        <w:tabs>
          <w:tab w:val="clear" w:pos="720"/>
          <w:tab w:val="num" w:pos="360"/>
        </w:tabs>
        <w:spacing w:after="100"/>
        <w:ind w:left="357" w:hanging="357"/>
      </w:pPr>
      <w:r>
        <w:rPr>
          <w:i/>
        </w:rPr>
        <w:t>L</w:t>
      </w:r>
      <w:r>
        <w:rPr>
          <w:i/>
        </w:rPr>
        <w:t>evelised cost approach.</w:t>
      </w:r>
      <w:r>
        <w:t xml:space="preserve"> The best-practice metric of comparison is levelised costs, which involves discounting both costs as well as water savings (effectively a stream of benefits). </w:t>
      </w:r>
    </w:p>
    <w:p w:rsidR="00000000" w:rsidRDefault="00D35856">
      <w:pPr>
        <w:keepNext w:val="0"/>
        <w:numPr>
          <w:ilvl w:val="0"/>
          <w:numId w:val="4"/>
        </w:numPr>
        <w:tabs>
          <w:tab w:val="clear" w:pos="720"/>
          <w:tab w:val="num" w:pos="360"/>
        </w:tabs>
        <w:spacing w:after="100"/>
        <w:ind w:left="357" w:hanging="357"/>
      </w:pPr>
      <w:r>
        <w:rPr>
          <w:i/>
        </w:rPr>
        <w:t xml:space="preserve">The role of </w:t>
      </w:r>
      <w:smartTag w:uri="urn:schemas-microsoft-com:office:smarttags" w:element="City">
        <w:r>
          <w:rPr>
            <w:i/>
          </w:rPr>
          <w:t>WELS</w:t>
        </w:r>
      </w:smartTag>
      <w:r>
        <w:rPr>
          <w:i/>
        </w:rPr>
        <w:t xml:space="preserve"> in achieving water savings, and additionality</w:t>
      </w:r>
      <w:r>
        <w:t xml:space="preserve"> </w:t>
      </w:r>
      <w:r>
        <w:rPr>
          <w:i/>
        </w:rPr>
        <w:t xml:space="preserve">of </w:t>
      </w:r>
      <w:smartTag w:uri="urn:schemas-microsoft-com:office:smarttags" w:element="City">
        <w:r>
          <w:rPr>
            <w:i/>
          </w:rPr>
          <w:t>WELS</w:t>
        </w:r>
      </w:smartTag>
      <w:r>
        <w:rPr>
          <w:i/>
        </w:rPr>
        <w:t xml:space="preserve"> impacts</w:t>
      </w:r>
      <w:r>
        <w:t xml:space="preserve">. Water savings, costs and benefits are analysed against a hypothetical baseline which is the “business as usual” case of what would have occurred anyway, in the absence of </w:t>
      </w:r>
      <w:smartTag w:uri="urn:schemas-microsoft-com:office:smarttags" w:element="City">
        <w:r>
          <w:t>WELS</w:t>
        </w:r>
      </w:smartTag>
      <w:r>
        <w:t>. Conceptually, this baseline includes policies, pro</w:t>
      </w:r>
      <w:r>
        <w:t xml:space="preserve">grams, market conditions and consumer preferences in place at the time of introduction of </w:t>
      </w:r>
      <w:smartTag w:uri="urn:schemas-microsoft-com:office:smarttags" w:element="City">
        <w:r>
          <w:t>WELS</w:t>
        </w:r>
      </w:smartTag>
      <w:r>
        <w:t xml:space="preserve">, as well as expectations of trends and changes in these factors if </w:t>
      </w:r>
      <w:smartTag w:uri="urn:schemas-microsoft-com:office:smarttags" w:element="City">
        <w:r>
          <w:t>WELS</w:t>
        </w:r>
      </w:smartTag>
      <w:r>
        <w:t xml:space="preserve"> had not been implemented.</w:t>
      </w:r>
    </w:p>
    <w:p w:rsidR="00000000" w:rsidRDefault="00D35856">
      <w:pPr>
        <w:keepNext w:val="0"/>
        <w:numPr>
          <w:ilvl w:val="0"/>
          <w:numId w:val="4"/>
        </w:numPr>
        <w:tabs>
          <w:tab w:val="clear" w:pos="720"/>
          <w:tab w:val="num" w:pos="360"/>
        </w:tabs>
        <w:ind w:left="360"/>
      </w:pPr>
      <w:r>
        <w:rPr>
          <w:i/>
        </w:rPr>
        <w:t>Whole</w:t>
      </w:r>
      <w:r>
        <w:t>-</w:t>
      </w:r>
      <w:r>
        <w:rPr>
          <w:i/>
        </w:rPr>
        <w:t>of-society cost or benefit of options.</w:t>
      </w:r>
      <w:r>
        <w:t xml:space="preserve"> To e</w:t>
      </w:r>
      <w:r>
        <w:t xml:space="preserve">nable comparison between the cost-effectiveness of </w:t>
      </w:r>
      <w:smartTag w:uri="urn:schemas-microsoft-com:office:smarttags" w:element="City">
        <w:r>
          <w:t>WELS</w:t>
        </w:r>
      </w:smartTag>
      <w:r>
        <w:t xml:space="preserve"> and other water management options, the whole-of-society net cost or benefit is used in the cost-effectiveness metric. This approach requires specifying boundaries of analysis in terms of stak</w:t>
      </w:r>
      <w:r>
        <w:t>eholders and impacts. In calculating this net cost or benefit, externalities are included (where possible) but transfer payments between stakeholders excluded. Whole-of-society analysis of costs and benefits is supplemented by distributional analysis of co</w:t>
      </w:r>
      <w:r>
        <w:t xml:space="preserve">sts and benefits – that is, impacts according to different stakeholder perspectives. </w:t>
      </w:r>
    </w:p>
    <w:p w:rsidR="00000000" w:rsidRDefault="00D35856">
      <w:pPr>
        <w:keepNext w:val="0"/>
        <w:widowControl w:val="0"/>
      </w:pPr>
      <w:r>
        <w:t xml:space="preserve">Although impacts associated with lifecycle phases of </w:t>
      </w:r>
      <w:smartTag w:uri="urn:schemas-microsoft-com:office:smarttags" w:element="City">
        <w:r>
          <w:t>WELS</w:t>
        </w:r>
      </w:smartTag>
      <w:r>
        <w:t xml:space="preserve"> products, including manufacture and disposal, could be significant, lifecycle analysis of water savings,</w:t>
      </w:r>
      <w:r>
        <w:t xml:space="preserve"> costs and benefits is beyond the scope of this study. The analysis in this study is limited to impacts associated with product registration and use.</w:t>
      </w:r>
    </w:p>
    <w:p w:rsidR="00000000" w:rsidRDefault="00D35856">
      <w:pPr>
        <w:pStyle w:val="Heading2"/>
        <w:numPr>
          <w:ilvl w:val="1"/>
          <w:numId w:val="3"/>
        </w:numPr>
        <w:tabs>
          <w:tab w:val="clear" w:pos="1296"/>
        </w:tabs>
        <w:ind w:left="567" w:hanging="567"/>
        <w:rPr>
          <w:color w:val="auto"/>
        </w:rPr>
      </w:pPr>
      <w:bookmarkStart w:id="24" w:name="_Toc199933727"/>
      <w:bookmarkStart w:id="25" w:name="_Toc61086691"/>
      <w:r>
        <w:rPr>
          <w:color w:val="auto"/>
        </w:rPr>
        <w:lastRenderedPageBreak/>
        <w:t>Cost-effectiveness analysis: Levelised Cost Approach</w:t>
      </w:r>
      <w:bookmarkEnd w:id="24"/>
    </w:p>
    <w:p w:rsidR="00000000" w:rsidRDefault="00D35856">
      <w:pPr>
        <w:keepNext w:val="0"/>
      </w:pPr>
      <w:r>
        <w:t>Measures of</w:t>
      </w:r>
      <w:r>
        <w:t xml:space="preserve"> unit cost are used when comparing different water saving and water supply options in terms of their cost-effectiveness. The measure of unit cost adopted for the assessment of </w:t>
      </w:r>
      <w:smartTag w:uri="urn:schemas-microsoft-com:office:smarttags" w:element="City">
        <w:r>
          <w:t>WELS</w:t>
        </w:r>
      </w:smartTag>
      <w:r>
        <w:t xml:space="preserve"> is levelised cost, also known as the average incremental cost (AIC)</w:t>
      </w:r>
      <w:r>
        <w:t xml:space="preserve">. Levelised cost is a metric which has the basic form of the present value (PV) of the stream of net costs in the numerator divided by the present value of the volume of water saved or supplied in the denominator: </w:t>
      </w:r>
    </w:p>
    <w:p w:rsidR="00000000" w:rsidRDefault="00D35856">
      <w:pPr>
        <w:keepNext w:val="0"/>
        <w:ind w:firstLine="720"/>
      </w:pPr>
      <w:r>
        <w:t xml:space="preserve">Levelised Cost = PV (Ct)/PV(St) </w:t>
      </w:r>
    </w:p>
    <w:p w:rsidR="00000000" w:rsidRDefault="00D35856">
      <w:pPr>
        <w:keepNext w:val="0"/>
      </w:pPr>
      <w:r>
        <w:t>Where St</w:t>
      </w:r>
      <w:r>
        <w:t xml:space="preserve"> is the amount supplied in each period t, and Ct equals capital and operating costs for each period. The levelised cost allows for the comparison of demand and supply options in order to inform decision making for water security. This is particularly usefu</w:t>
      </w:r>
      <w:r>
        <w:t xml:space="preserve">l in least cost planning to assist in the identification of lowest cost options that meet the supply demand balance into the future. </w:t>
      </w:r>
    </w:p>
    <w:p w:rsidR="00000000" w:rsidRDefault="00D35856">
      <w:pPr>
        <w:keepNext w:val="0"/>
      </w:pPr>
      <w:r>
        <w:t>Another feature of the levelised cost is that it can be directly compared with the long run marginal co</w:t>
      </w:r>
      <w:r>
        <w:t xml:space="preserve">st (LRMC) of the current system to determine whether the next option is in fact cheaper than the marginal cost of current supply. </w:t>
      </w:r>
    </w:p>
    <w:p w:rsidR="00000000" w:rsidRDefault="00D35856">
      <w:pPr>
        <w:keepNext w:val="0"/>
      </w:pPr>
      <w:r>
        <w:t>The levelised cost can usefully be interpreted as the price, held constant in real terms over time, that would ensure the pre</w:t>
      </w:r>
      <w:r>
        <w:t xml:space="preserve">sent value of revenues from water output equals the present value of the costs, allowing for financing costs. </w:t>
      </w:r>
    </w:p>
    <w:p w:rsidR="00000000" w:rsidRDefault="00D35856">
      <w:pPr>
        <w:keepNext w:val="0"/>
        <w:ind w:firstLine="720"/>
      </w:pPr>
      <w:r>
        <w:t xml:space="preserve">PV (P x St) = PV (Ct) (1) </w:t>
      </w:r>
    </w:p>
    <w:p w:rsidR="00000000" w:rsidRDefault="00D35856">
      <w:pPr>
        <w:keepNext w:val="0"/>
      </w:pPr>
      <w:r>
        <w:t>Where P equals the constant price. In other words the levelised cost is the price that equates a revenue stream to a c</w:t>
      </w:r>
      <w:r>
        <w:t xml:space="preserve">ost stream, expressed in present value terms - i.e., it is a 'break even price'. </w:t>
      </w:r>
    </w:p>
    <w:p w:rsidR="00000000" w:rsidRDefault="00D35856">
      <w:pPr>
        <w:keepNext w:val="0"/>
      </w:pPr>
      <w:r>
        <w:t xml:space="preserve">The levelised cost measure of unit cost also takes account of the time preference of consumption, that is, the changing levels of consumption over the specified time horizon </w:t>
      </w:r>
      <w:r>
        <w:t>for analysis. This is conducted by discounting the stream of water to a net present value in the same way that the cost stream is discounted. Conceptually, this equates to the recognition that the denominator of the levelised cost equation is a function of</w:t>
      </w:r>
      <w:r>
        <w:t xml:space="preserve"> future demand rather than a volumetric quantity. Put differently, the denominator represents the satisfaction of a demand for water (as distinct from a volume of water) and is therefore an economic quantity, it represents a level of utility. Therefore, th</w:t>
      </w:r>
      <w:r>
        <w:t xml:space="preserve">e same principle applies as for the value of money. That is, if we accept that the denominator is in fact a utility, and additionally accept that consumers assign a time preference to utility (i.e. consumers prefer satisfaction of their needs now) then it </w:t>
      </w:r>
      <w:r>
        <w:t xml:space="preserve">follows that the denominator should be discounted to account for this time preference. </w:t>
      </w:r>
    </w:p>
    <w:p w:rsidR="00000000" w:rsidRDefault="00D35856">
      <w:pPr>
        <w:keepNext w:val="0"/>
      </w:pPr>
      <w:r>
        <w:t>By way of comparison, some other costing metrics, for example annualised cost, have a denominator equal to the arithmetic sum of water supplied over the time horizon. I</w:t>
      </w:r>
      <w:r>
        <w:t>n these calculations water supplied at some point in the future is not treated any differently than water supplied immediately.</w:t>
      </w:r>
    </w:p>
    <w:p w:rsidR="00000000" w:rsidRDefault="00D35856">
      <w:pPr>
        <w:pStyle w:val="Heading2"/>
        <w:pageBreakBefore/>
        <w:numPr>
          <w:ilvl w:val="1"/>
          <w:numId w:val="3"/>
        </w:numPr>
        <w:tabs>
          <w:tab w:val="clear" w:pos="1296"/>
        </w:tabs>
        <w:ind w:left="567" w:hanging="567"/>
        <w:rPr>
          <w:color w:val="auto"/>
        </w:rPr>
      </w:pPr>
      <w:bookmarkStart w:id="26" w:name="_Toc190583780"/>
      <w:bookmarkStart w:id="27" w:name="_Toc199933728"/>
      <w:bookmarkStart w:id="28" w:name="_Toc61086692"/>
      <w:bookmarkEnd w:id="25"/>
      <w:r>
        <w:rPr>
          <w:color w:val="auto"/>
        </w:rPr>
        <w:lastRenderedPageBreak/>
        <w:t xml:space="preserve">The role of </w:t>
      </w:r>
      <w:smartTag w:uri="urn:schemas-microsoft-com:office:smarttags" w:element="City">
        <w:r>
          <w:rPr>
            <w:color w:val="auto"/>
          </w:rPr>
          <w:t>WELS</w:t>
        </w:r>
      </w:smartTag>
      <w:r>
        <w:rPr>
          <w:color w:val="auto"/>
        </w:rPr>
        <w:t xml:space="preserve"> in delivering water savings</w:t>
      </w:r>
      <w:bookmarkEnd w:id="26"/>
      <w:bookmarkEnd w:id="27"/>
      <w:r>
        <w:rPr>
          <w:color w:val="auto"/>
        </w:rPr>
        <w:t xml:space="preserve"> </w:t>
      </w:r>
    </w:p>
    <w:p w:rsidR="00000000" w:rsidRDefault="00D35856">
      <w:pPr>
        <w:keepNext w:val="0"/>
      </w:pPr>
      <w:r>
        <w:t xml:space="preserve">As discussed in chapter 1, </w:t>
      </w:r>
      <w:smartTag w:uri="urn:schemas-microsoft-com:office:smarttags" w:element="City">
        <w:r>
          <w:t>WELS</w:t>
        </w:r>
      </w:smartTag>
      <w:r>
        <w:t xml:space="preserve"> has been introduced during a period where there are multiple other drivers and programs influencing water consumption and efficiency. It is therefore difficult to attribute overall water savings to </w:t>
      </w:r>
      <w:smartTag w:uri="urn:schemas-microsoft-com:office:smarttags" w:element="City">
        <w:r>
          <w:t>WELS</w:t>
        </w:r>
      </w:smartTag>
      <w:r>
        <w:t xml:space="preserve"> or any individual program element. Nevertheless, </w:t>
      </w:r>
      <w:smartTag w:uri="urn:schemas-microsoft-com:office:smarttags" w:element="City">
        <w:r>
          <w:t>WELS</w:t>
        </w:r>
      </w:smartTag>
      <w:r>
        <w:t xml:space="preserve"> provides key information to facilitate the feasibility and effectiveness of other programs. </w:t>
      </w:r>
    </w:p>
    <w:p w:rsidR="00000000" w:rsidRDefault="00D35856">
      <w:pPr>
        <w:keepNext w:val="0"/>
      </w:pPr>
      <w:r>
        <w:t xml:space="preserve">Compared to the baseline scenario of voluntary labelling, </w:t>
      </w:r>
      <w:smartTag w:uri="urn:schemas-microsoft-com:office:smarttags" w:element="City">
        <w:r>
          <w:t>WELS</w:t>
        </w:r>
      </w:smartTag>
      <w:r>
        <w:t xml:space="preserve"> influences consumer choice an</w:t>
      </w:r>
      <w:r>
        <w:t>d achieves water savings through several mechanisms:</w:t>
      </w:r>
    </w:p>
    <w:p w:rsidR="00000000" w:rsidRDefault="00D35856">
      <w:pPr>
        <w:keepNext w:val="0"/>
        <w:numPr>
          <w:ilvl w:val="0"/>
          <w:numId w:val="16"/>
        </w:numPr>
        <w:tabs>
          <w:tab w:val="clear" w:pos="1495"/>
          <w:tab w:val="num" w:pos="360"/>
        </w:tabs>
        <w:ind w:left="360"/>
      </w:pPr>
      <w:r>
        <w:t xml:space="preserve">The primary mechanism is by providing consumers with </w:t>
      </w:r>
      <w:r>
        <w:rPr>
          <w:b/>
        </w:rPr>
        <w:t>information</w:t>
      </w:r>
      <w:r>
        <w:t xml:space="preserve"> about the water efficiency of all products covered by the scheme. This allows consumers to differentiate between models on the basis of </w:t>
      </w:r>
      <w:r>
        <w:t xml:space="preserve">water efficiency, and to include it as a factor (amongst other features, eg. price) in their purchase decisions. </w:t>
      </w:r>
    </w:p>
    <w:p w:rsidR="00000000" w:rsidRDefault="00D35856">
      <w:pPr>
        <w:keepNext w:val="0"/>
        <w:numPr>
          <w:ilvl w:val="0"/>
          <w:numId w:val="16"/>
        </w:numPr>
        <w:tabs>
          <w:tab w:val="clear" w:pos="1495"/>
          <w:tab w:val="num" w:pos="360"/>
        </w:tabs>
        <w:ind w:left="360"/>
      </w:pPr>
      <w:smartTag w:uri="urn:schemas-microsoft-com:office:smarttags" w:element="City">
        <w:r>
          <w:t>WELS</w:t>
        </w:r>
      </w:smartTag>
      <w:r>
        <w:t xml:space="preserve"> also acts as a vehicle for </w:t>
      </w:r>
      <w:r>
        <w:rPr>
          <w:b/>
        </w:rPr>
        <w:t>incentives programs</w:t>
      </w:r>
      <w:r>
        <w:t xml:space="preserve">, such as rebate schemes. </w:t>
      </w:r>
      <w:smartTag w:uri="urn:schemas-microsoft-com:office:smarttags" w:element="City">
        <w:r>
          <w:t>WELS</w:t>
        </w:r>
      </w:smartTag>
      <w:r>
        <w:t xml:space="preserve"> could affect the extent and nature of reba</w:t>
      </w:r>
      <w:r>
        <w:t>tes offered, as well as uptake rates (by ensuring all products are labelled, enabling greater consumer choice than under voluntary labelling).</w:t>
      </w:r>
    </w:p>
    <w:p w:rsidR="00000000" w:rsidRDefault="00D35856">
      <w:pPr>
        <w:keepNext w:val="0"/>
        <w:numPr>
          <w:ilvl w:val="0"/>
          <w:numId w:val="16"/>
        </w:numPr>
        <w:tabs>
          <w:tab w:val="clear" w:pos="1495"/>
          <w:tab w:val="num" w:pos="360"/>
        </w:tabs>
        <w:ind w:left="360"/>
      </w:pPr>
      <w:r>
        <w:rPr>
          <w:b/>
        </w:rPr>
        <w:t>Building</w:t>
      </w:r>
      <w:r>
        <w:t xml:space="preserve"> </w:t>
      </w:r>
      <w:r>
        <w:rPr>
          <w:b/>
        </w:rPr>
        <w:t>regulations</w:t>
      </w:r>
      <w:r>
        <w:t xml:space="preserve"> that target the water efficiency of products and fixtures rely on the mandatory aspect of </w:t>
      </w:r>
      <w:smartTag w:uri="urn:schemas-microsoft-com:office:smarttags" w:element="City">
        <w:r>
          <w:t>WELS</w:t>
        </w:r>
      </w:smartTag>
      <w:r>
        <w:t xml:space="preserve">. </w:t>
      </w:r>
      <w:smartTag w:uri="urn:schemas-microsoft-com:office:smarttags" w:element="City">
        <w:r>
          <w:t>WELS</w:t>
        </w:r>
      </w:smartTag>
      <w:r>
        <w:t xml:space="preserve"> has also enabled the Australia-wide implementation of </w:t>
      </w:r>
      <w:r>
        <w:rPr>
          <w:b/>
        </w:rPr>
        <w:t>minimum standards</w:t>
      </w:r>
      <w:r>
        <w:t>, such as water efficiency of toilets.</w:t>
      </w:r>
    </w:p>
    <w:p w:rsidR="00000000" w:rsidRDefault="00D35856">
      <w:pPr>
        <w:keepNext w:val="0"/>
      </w:pPr>
      <w:smartTag w:uri="urn:schemas-microsoft-com:office:smarttags" w:element="City">
        <w:r>
          <w:t>WELS</w:t>
        </w:r>
      </w:smartTag>
      <w:r>
        <w:t xml:space="preserve"> was introduced at a time of severe and prolonged drought across many parts of </w:t>
      </w:r>
      <w:smartTag w:uri="urn:schemas-microsoft-com:office:smarttags" w:element="City">
        <w:r>
          <w:t>Australia</w:t>
        </w:r>
      </w:smartTag>
      <w:r>
        <w:t>. In various lo</w:t>
      </w:r>
      <w:r>
        <w:t>cations, widespread education and promotion of water conservation has been accompanied by restrictions on outdoor water use and aspirational targets or mandated rationing of total water use – particularly focussing on residential users. It is likely that e</w:t>
      </w:r>
      <w:r>
        <w:t xml:space="preserve">ven if </w:t>
      </w:r>
      <w:smartTag w:uri="urn:schemas-microsoft-com:office:smarttags" w:element="City">
        <w:r>
          <w:t>WELS</w:t>
        </w:r>
      </w:smartTag>
      <w:r>
        <w:t xml:space="preserve"> had not been introduced, consumers responding to water shortages and the drought could have shifted towards more water-efficient products, albeit constrained by the lesser coverage of the voluntary labelling scheme. </w:t>
      </w:r>
    </w:p>
    <w:p w:rsidR="00000000" w:rsidRDefault="00D35856">
      <w:pPr>
        <w:keepNext w:val="0"/>
      </w:pPr>
      <w:r>
        <w:t xml:space="preserve">However, </w:t>
      </w:r>
      <w:fldSimple w:instr=" REF _Ref191422064 \h  \* MERGEFORMAT ">
        <w:r>
          <w:t xml:space="preserve">Figure </w:t>
        </w:r>
        <w:r>
          <w:rPr>
            <w:noProof/>
          </w:rPr>
          <w:t>2</w:t>
        </w:r>
        <w:r>
          <w:rPr>
            <w:noProof/>
          </w:rPr>
          <w:noBreakHyphen/>
          <w:t>1</w:t>
        </w:r>
      </w:fldSimple>
      <w:r>
        <w:t xml:space="preserve"> illustrates the pathways by which WELS is likely to have reduced (and continue to reduce) water consumption </w:t>
      </w:r>
      <w:r>
        <w:rPr>
          <w:i/>
        </w:rPr>
        <w:t>in addition to that which would have occur</w:t>
      </w:r>
      <w:r>
        <w:rPr>
          <w:i/>
        </w:rPr>
        <w:t>red under voluntary labelling scheme</w:t>
      </w:r>
      <w:r>
        <w:t>, giving regards to the various drivers and influences associated with drought and water shortages.</w:t>
      </w:r>
    </w:p>
    <w:p w:rsidR="00000000" w:rsidRDefault="00D35856">
      <w:pPr>
        <w:keepNext w:val="0"/>
      </w:pPr>
      <w:r>
        <w:t xml:space="preserve">A further important feature of the water savings achieved by </w:t>
      </w:r>
      <w:smartTag w:uri="urn:schemas-microsoft-com:office:smarttags" w:element="City">
        <w:r>
          <w:t>WELS</w:t>
        </w:r>
      </w:smartTag>
      <w:r>
        <w:t xml:space="preserve"> is that they are “locked-in” – that is, are re</w:t>
      </w:r>
      <w:r>
        <w:t xml:space="preserve">lated to technology choices rather than drought-dependent behaviour. In the suite of possible measures to achieve water savings, </w:t>
      </w:r>
      <w:smartTag w:uri="urn:schemas-microsoft-com:office:smarttags" w:element="City">
        <w:r>
          <w:t>WELS</w:t>
        </w:r>
      </w:smartTag>
      <w:r>
        <w:t xml:space="preserve"> has the advantage of locking in savings for the life of products, compared to restrictions on water use behaviour,</w:t>
      </w:r>
      <w:r>
        <w:t xml:space="preserve"> which guarantee savings only during the period of regulation.</w:t>
      </w:r>
    </w:p>
    <w:p w:rsidR="00000000" w:rsidRDefault="00D35856">
      <w:pPr>
        <w:pStyle w:val="Caption"/>
        <w:keepNext w:val="0"/>
        <w:pageBreakBefore/>
      </w:pPr>
      <w:bookmarkStart w:id="29" w:name="_Ref191422064"/>
      <w:bookmarkStart w:id="30" w:name="_Toc191475250"/>
      <w:bookmarkStart w:id="31" w:name="_Toc199933813"/>
      <w:r>
        <w:lastRenderedPageBreak/>
        <w:t xml:space="preserve">Figure </w:t>
      </w:r>
      <w:r>
        <w:fldChar w:fldCharType="begin"/>
      </w:r>
      <w:r>
        <w:instrText xml:space="preserve"> STYLEREF 1 \s </w:instrText>
      </w:r>
      <w:r>
        <w:fldChar w:fldCharType="separate"/>
      </w:r>
      <w:r>
        <w:rPr>
          <w:noProof/>
        </w:rPr>
        <w:t>2</w:t>
      </w:r>
      <w:r>
        <w:fldChar w:fldCharType="end"/>
      </w:r>
      <w:r>
        <w:noBreakHyphen/>
      </w:r>
      <w:r>
        <w:fldChar w:fldCharType="begin"/>
      </w:r>
      <w:r>
        <w:instrText xml:space="preserve"> SEQ Figure \* ARABIC \s 1 </w:instrText>
      </w:r>
      <w:r>
        <w:fldChar w:fldCharType="separate"/>
      </w:r>
      <w:r>
        <w:rPr>
          <w:noProof/>
        </w:rPr>
        <w:t>1</w:t>
      </w:r>
      <w:r>
        <w:fldChar w:fldCharType="end"/>
      </w:r>
      <w:bookmarkEnd w:id="29"/>
      <w:r>
        <w:t xml:space="preserve"> </w:t>
      </w:r>
      <w:smartTag w:uri="urn:schemas-microsoft-com:office:smarttags" w:element="City">
        <w:r>
          <w:t>WELS</w:t>
        </w:r>
      </w:smartTag>
      <w:r>
        <w:t xml:space="preserve"> mechanisms to achieve water savings: additional to that which would h</w:t>
      </w:r>
      <w:r>
        <w:t>ave occurred under voluntary labelling baseline.</w:t>
      </w:r>
      <w:bookmarkEnd w:id="30"/>
      <w:bookmarkEnd w:id="31"/>
    </w:p>
    <w:p w:rsidR="00000000" w:rsidRDefault="00D35856">
      <w:pPr>
        <w:keepNext w:val="0"/>
      </w:pPr>
      <w:r>
        <w:rPr>
          <w:noProof/>
          <w:lang w:eastAsia="en-AU"/>
        </w:rPr>
        <w:drawing>
          <wp:inline distT="0" distB="0" distL="0" distR="0">
            <wp:extent cx="5052060" cy="5440680"/>
            <wp:effectExtent l="19050" t="0" r="0" b="0"/>
            <wp:docPr id="6" name="Picture 6" descr="Fig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2-1"/>
                    <pic:cNvPicPr>
                      <a:picLocks noChangeAspect="1" noChangeArrowheads="1"/>
                    </pic:cNvPicPr>
                  </pic:nvPicPr>
                  <pic:blipFill>
                    <a:blip r:embed="rId19"/>
                    <a:srcRect/>
                    <a:stretch>
                      <a:fillRect/>
                    </a:stretch>
                  </pic:blipFill>
                  <pic:spPr bwMode="auto">
                    <a:xfrm>
                      <a:off x="0" y="0"/>
                      <a:ext cx="5052060" cy="5440680"/>
                    </a:xfrm>
                    <a:prstGeom prst="rect">
                      <a:avLst/>
                    </a:prstGeom>
                    <a:noFill/>
                    <a:ln w="9525">
                      <a:noFill/>
                      <a:miter lim="800000"/>
                      <a:headEnd/>
                      <a:tailEnd/>
                    </a:ln>
                  </pic:spPr>
                </pic:pic>
              </a:graphicData>
            </a:graphic>
          </wp:inline>
        </w:drawing>
      </w:r>
      <w:r>
        <w:t>s</w:t>
      </w:r>
    </w:p>
    <w:p w:rsidR="00000000" w:rsidRDefault="00D35856">
      <w:pPr>
        <w:pStyle w:val="Heading3"/>
        <w:keepNext w:val="0"/>
        <w:numPr>
          <w:ilvl w:val="2"/>
          <w:numId w:val="3"/>
        </w:numPr>
        <w:tabs>
          <w:tab w:val="clear" w:pos="1440"/>
        </w:tabs>
        <w:ind w:left="851" w:hanging="851"/>
        <w:rPr>
          <w:color w:val="auto"/>
        </w:rPr>
      </w:pPr>
      <w:bookmarkStart w:id="32" w:name="_Toc199933729"/>
      <w:r>
        <w:rPr>
          <w:color w:val="auto"/>
        </w:rPr>
        <w:t>Direct information provision</w:t>
      </w:r>
      <w:bookmarkEnd w:id="32"/>
    </w:p>
    <w:p w:rsidR="00000000" w:rsidRDefault="00D35856">
      <w:pPr>
        <w:keepNext w:val="0"/>
        <w:spacing w:after="120"/>
      </w:pPr>
      <w:r>
        <w:t>As shown in the diagram, under a baselin</w:t>
      </w:r>
      <w:r>
        <w:t>e situation of voluntary labelling, consumers are likely to have to respond to drought and water shortages by seeking to purchase more water-efficient products. Although evidence from the 2003 RIS indicates that coverage under the voluntary labelling schem</w:t>
      </w:r>
      <w:r>
        <w:t>e was low, it is plausible that with sufficient demand some suppliers may have expanded their range of water efficient labelled products, thus increasing the effectiveness of the voluntary scheme in delivering water savings. For example, the number of outd</w:t>
      </w:r>
      <w:r>
        <w:t>oor water use products registered under the Smart Water Mark scheme, despite being a voluntary labelling scheme, rose sharply in response to the recent drought, reflecting an increasing sentiment within industry that labelling results in a market advantage</w:t>
      </w:r>
      <w:r>
        <w:t xml:space="preserve">, although an additional direct driver for this is outdoor water use restrictions, (Gray, J. pers. comm.). </w:t>
      </w:r>
    </w:p>
    <w:p w:rsidR="00000000" w:rsidRDefault="00D35856">
      <w:pPr>
        <w:keepNext w:val="0"/>
        <w:spacing w:after="120"/>
      </w:pPr>
      <w:r>
        <w:t xml:space="preserve">However, by ensuring full (or close to full) coverage of all models, </w:t>
      </w:r>
      <w:smartTag w:uri="urn:schemas-microsoft-com:office:smarttags" w:element="City">
        <w:r>
          <w:t>WELS</w:t>
        </w:r>
      </w:smartTag>
      <w:r>
        <w:t xml:space="preserve"> has necessarily lead to a greater uptake of water efficient produc</w:t>
      </w:r>
      <w:r>
        <w:t xml:space="preserve">ts and hence water </w:t>
      </w:r>
      <w:r>
        <w:lastRenderedPageBreak/>
        <w:t>savings. More consumers are likely to include water use efficiency as a factor in their purchase decisions because all models are labelled.</w:t>
      </w:r>
    </w:p>
    <w:p w:rsidR="00000000" w:rsidRDefault="00D35856">
      <w:pPr>
        <w:keepNext w:val="0"/>
        <w:spacing w:after="120"/>
      </w:pPr>
      <w:r>
        <w:t>Furthermore, longer-term, if the drought subsides, the water conservation ethic and consumer pref</w:t>
      </w:r>
      <w:r>
        <w:t>erence for water efficient products may also decrease (see, for example, discussion of “bounce-back” in demand after restrictions in Chong et. al (forthcoming)). Without mandatory labelling, suppliers may not necessarily choose to introduce water efficient</w:t>
      </w:r>
      <w:r>
        <w:t xml:space="preserve"> products, and thus the reinforcing factor of widespread model label coverage would also be lost.</w:t>
      </w:r>
    </w:p>
    <w:p w:rsidR="00000000" w:rsidRDefault="00D35856">
      <w:pPr>
        <w:pStyle w:val="Heading3"/>
        <w:keepNext w:val="0"/>
        <w:numPr>
          <w:ilvl w:val="2"/>
          <w:numId w:val="3"/>
        </w:numPr>
        <w:tabs>
          <w:tab w:val="clear" w:pos="1440"/>
        </w:tabs>
        <w:ind w:left="851" w:hanging="851"/>
        <w:rPr>
          <w:color w:val="auto"/>
        </w:rPr>
      </w:pPr>
      <w:bookmarkStart w:id="33" w:name="_Toc199933730"/>
      <w:r>
        <w:rPr>
          <w:color w:val="auto"/>
        </w:rPr>
        <w:t>Rebates</w:t>
      </w:r>
      <w:bookmarkEnd w:id="33"/>
    </w:p>
    <w:p w:rsidR="00000000" w:rsidRDefault="00D35856">
      <w:pPr>
        <w:keepNext w:val="0"/>
        <w:spacing w:after="120"/>
      </w:pPr>
      <w:r>
        <w:t>Rebates for water efficient products are a significant driver of consumer choice. Reba</w:t>
      </w:r>
      <w:r>
        <w:t>tes were available under the voluntary scheme. Under the baseline scenario, in response to drought, agencies offering rebates may have expanded the schemes even if labelling remained voluntary, and consumer uptake is likely to have increased. Nevertheless,</w:t>
      </w:r>
      <w:r>
        <w:t xml:space="preserve"> the mandatory characteristic of </w:t>
      </w:r>
      <w:smartTag w:uri="urn:schemas-microsoft-com:office:smarttags" w:element="City">
        <w:r>
          <w:t>WELS</w:t>
        </w:r>
      </w:smartTag>
      <w:r>
        <w:t xml:space="preserve"> would lead to higher water savings through rebates by:</w:t>
      </w:r>
    </w:p>
    <w:p w:rsidR="00000000" w:rsidRDefault="00D35856">
      <w:pPr>
        <w:keepNext w:val="0"/>
        <w:numPr>
          <w:ilvl w:val="0"/>
          <w:numId w:val="18"/>
        </w:numPr>
        <w:tabs>
          <w:tab w:val="clear" w:pos="1440"/>
          <w:tab w:val="num" w:pos="360"/>
        </w:tabs>
        <w:spacing w:after="120"/>
        <w:ind w:left="360"/>
      </w:pPr>
      <w:r>
        <w:t xml:space="preserve">possibly facilitating agency decisions to provide more extensive or higher value rebate programs. </w:t>
      </w:r>
    </w:p>
    <w:p w:rsidR="00000000" w:rsidRDefault="00D35856">
      <w:pPr>
        <w:keepNext w:val="0"/>
        <w:numPr>
          <w:ilvl w:val="0"/>
          <w:numId w:val="18"/>
        </w:numPr>
        <w:tabs>
          <w:tab w:val="clear" w:pos="1440"/>
          <w:tab w:val="num" w:pos="360"/>
        </w:tabs>
        <w:spacing w:after="120"/>
        <w:ind w:left="360"/>
      </w:pPr>
      <w:r>
        <w:t>ensuring wide product coverage, thus increasing upta</w:t>
      </w:r>
      <w:r>
        <w:t>ke of rebates.</w:t>
      </w:r>
    </w:p>
    <w:p w:rsidR="00000000" w:rsidRDefault="00D35856">
      <w:pPr>
        <w:pStyle w:val="Caption"/>
        <w:keepNext w:val="0"/>
      </w:pPr>
      <w:bookmarkStart w:id="34" w:name="_Ref188098321"/>
      <w:bookmarkStart w:id="35" w:name="_Toc199933782"/>
      <w:r>
        <w:t xml:space="preserve">Table </w:t>
      </w:r>
      <w:r>
        <w:fldChar w:fldCharType="begin"/>
      </w:r>
      <w:r>
        <w:instrText xml:space="preserve"> STYLEREF 1 \s </w:instrText>
      </w:r>
      <w:r>
        <w:fldChar w:fldCharType="separate"/>
      </w:r>
      <w:r>
        <w:rPr>
          <w:noProof/>
        </w:rPr>
        <w:t>2</w:t>
      </w:r>
      <w:r>
        <w:fldChar w:fldCharType="end"/>
      </w:r>
      <w:r>
        <w:noBreakHyphen/>
      </w:r>
      <w:r>
        <w:fldChar w:fldCharType="begin"/>
      </w:r>
      <w:r>
        <w:instrText xml:space="preserve"> SEQ Table \* ARABIC \s 1 </w:instrText>
      </w:r>
      <w:r>
        <w:fldChar w:fldCharType="separate"/>
      </w:r>
      <w:r>
        <w:rPr>
          <w:noProof/>
        </w:rPr>
        <w:t>1</w:t>
      </w:r>
      <w:r>
        <w:fldChar w:fldCharType="end"/>
      </w:r>
      <w:bookmarkEnd w:id="34"/>
      <w:r>
        <w:t xml:space="preserve">: Selected rebate programs in </w:t>
      </w:r>
      <w:smartTag w:uri="urn:schemas-microsoft-com:office:smarttags" w:element="City">
        <w:r>
          <w:t>Australia</w:t>
        </w:r>
      </w:smartTag>
      <w:bookmarkEnd w:id="35"/>
    </w:p>
    <w:tbl>
      <w:tblPr>
        <w:tblStyle w:val="TableGrid"/>
        <w:tblW w:w="8856" w:type="dxa"/>
        <w:tblLook w:val="01E0"/>
      </w:tblPr>
      <w:tblGrid>
        <w:gridCol w:w="1384"/>
        <w:gridCol w:w="1985"/>
        <w:gridCol w:w="2268"/>
        <w:gridCol w:w="3219"/>
      </w:tblGrid>
      <w:tr w:rsidR="00000000">
        <w:tc>
          <w:tcPr>
            <w:tcW w:w="1384" w:type="dxa"/>
            <w:tcBorders>
              <w:right w:val="nil"/>
            </w:tcBorders>
            <w:shd w:val="clear" w:color="auto" w:fill="CCCCCC"/>
          </w:tcPr>
          <w:p w:rsidR="00000000" w:rsidRDefault="00D35856">
            <w:pPr>
              <w:keepNext w:val="0"/>
              <w:spacing w:after="0"/>
              <w:jc w:val="left"/>
              <w:rPr>
                <w:rFonts w:ascii="Arial" w:hAnsi="Arial" w:cs="Arial"/>
                <w:b/>
                <w:sz w:val="20"/>
              </w:rPr>
            </w:pPr>
            <w:r>
              <w:rPr>
                <w:rFonts w:ascii="Arial" w:hAnsi="Arial" w:cs="Arial"/>
                <w:b/>
                <w:sz w:val="20"/>
              </w:rPr>
              <w:t>Area</w:t>
            </w:r>
          </w:p>
        </w:tc>
        <w:tc>
          <w:tcPr>
            <w:tcW w:w="1985" w:type="dxa"/>
            <w:tcBorders>
              <w:left w:val="nil"/>
              <w:right w:val="nil"/>
            </w:tcBorders>
            <w:shd w:val="clear" w:color="auto" w:fill="CCCCCC"/>
          </w:tcPr>
          <w:p w:rsidR="00000000" w:rsidRDefault="00D35856">
            <w:pPr>
              <w:keepNext w:val="0"/>
              <w:spacing w:after="0"/>
              <w:jc w:val="left"/>
              <w:rPr>
                <w:rFonts w:ascii="Arial" w:hAnsi="Arial" w:cs="Arial"/>
                <w:b/>
                <w:sz w:val="20"/>
              </w:rPr>
            </w:pPr>
            <w:r>
              <w:rPr>
                <w:rFonts w:ascii="Arial" w:hAnsi="Arial" w:cs="Arial"/>
                <w:b/>
                <w:sz w:val="20"/>
              </w:rPr>
              <w:t>Scheme Name</w:t>
            </w:r>
          </w:p>
        </w:tc>
        <w:tc>
          <w:tcPr>
            <w:tcW w:w="2268" w:type="dxa"/>
            <w:tcBorders>
              <w:left w:val="nil"/>
              <w:right w:val="nil"/>
            </w:tcBorders>
            <w:shd w:val="clear" w:color="auto" w:fill="CCCCCC"/>
          </w:tcPr>
          <w:p w:rsidR="00000000" w:rsidRDefault="00D35856">
            <w:pPr>
              <w:keepNext w:val="0"/>
              <w:spacing w:after="0"/>
              <w:jc w:val="left"/>
              <w:rPr>
                <w:rFonts w:ascii="Arial" w:hAnsi="Arial" w:cs="Arial"/>
                <w:b/>
                <w:sz w:val="20"/>
              </w:rPr>
            </w:pPr>
            <w:r>
              <w:rPr>
                <w:rFonts w:ascii="Arial" w:hAnsi="Arial" w:cs="Arial"/>
                <w:b/>
                <w:sz w:val="20"/>
              </w:rPr>
              <w:t xml:space="preserve">Agency </w:t>
            </w:r>
          </w:p>
        </w:tc>
        <w:tc>
          <w:tcPr>
            <w:tcW w:w="3219" w:type="dxa"/>
            <w:tcBorders>
              <w:left w:val="nil"/>
            </w:tcBorders>
            <w:shd w:val="clear" w:color="auto" w:fill="CCCCCC"/>
          </w:tcPr>
          <w:p w:rsidR="00000000" w:rsidRDefault="00D35856">
            <w:pPr>
              <w:keepNext w:val="0"/>
              <w:spacing w:after="0"/>
              <w:jc w:val="left"/>
              <w:rPr>
                <w:rFonts w:ascii="Arial" w:hAnsi="Arial" w:cs="Arial"/>
                <w:b/>
                <w:sz w:val="20"/>
              </w:rPr>
            </w:pPr>
            <w:r>
              <w:rPr>
                <w:rFonts w:ascii="Arial" w:hAnsi="Arial" w:cs="Arial"/>
                <w:b/>
                <w:sz w:val="20"/>
              </w:rPr>
              <w:t>Rebates offered</w:t>
            </w:r>
          </w:p>
        </w:tc>
      </w:tr>
      <w:tr w:rsidR="00000000">
        <w:tc>
          <w:tcPr>
            <w:tcW w:w="1384" w:type="dxa"/>
            <w:tcBorders>
              <w:right w:val="single" w:sz="4" w:space="0" w:color="C0C0C0"/>
            </w:tcBorders>
          </w:tcPr>
          <w:p w:rsidR="00000000" w:rsidRDefault="00D35856">
            <w:pPr>
              <w:keepNext w:val="0"/>
              <w:spacing w:after="0"/>
              <w:jc w:val="left"/>
              <w:rPr>
                <w:rFonts w:ascii="Arial" w:hAnsi="Arial" w:cs="Arial"/>
                <w:sz w:val="18"/>
              </w:rPr>
            </w:pPr>
            <w:r>
              <w:rPr>
                <w:rFonts w:ascii="Arial" w:hAnsi="Arial" w:cs="Arial"/>
                <w:sz w:val="18"/>
              </w:rPr>
              <w:t>SA</w:t>
            </w:r>
          </w:p>
        </w:tc>
        <w:tc>
          <w:tcPr>
            <w:tcW w:w="1985" w:type="dxa"/>
            <w:tcBorders>
              <w:left w:val="single" w:sz="4" w:space="0" w:color="C0C0C0"/>
              <w:right w:val="single" w:sz="4" w:space="0" w:color="C0C0C0"/>
            </w:tcBorders>
          </w:tcPr>
          <w:p w:rsidR="00000000" w:rsidRDefault="00D35856">
            <w:pPr>
              <w:keepNext w:val="0"/>
              <w:spacing w:after="0"/>
              <w:ind w:left="55"/>
              <w:jc w:val="left"/>
              <w:rPr>
                <w:rFonts w:ascii="Arial" w:hAnsi="Arial" w:cs="Arial"/>
                <w:sz w:val="18"/>
              </w:rPr>
            </w:pPr>
            <w:r>
              <w:rPr>
                <w:rFonts w:ascii="Arial" w:hAnsi="Arial" w:cs="Arial"/>
                <w:sz w:val="18"/>
              </w:rPr>
              <w:t>Rebate Scheme</w:t>
            </w:r>
          </w:p>
        </w:tc>
        <w:tc>
          <w:tcPr>
            <w:tcW w:w="2268" w:type="dxa"/>
            <w:tcBorders>
              <w:left w:val="single" w:sz="4" w:space="0" w:color="C0C0C0"/>
              <w:right w:val="single" w:sz="4" w:space="0" w:color="C0C0C0"/>
            </w:tcBorders>
          </w:tcPr>
          <w:p w:rsidR="00000000" w:rsidRDefault="00D35856">
            <w:pPr>
              <w:keepNext w:val="0"/>
              <w:spacing w:after="0"/>
              <w:ind w:left="55"/>
              <w:jc w:val="left"/>
              <w:rPr>
                <w:rFonts w:ascii="Arial" w:hAnsi="Arial" w:cs="Arial"/>
                <w:sz w:val="18"/>
              </w:rPr>
            </w:pPr>
            <w:r>
              <w:rPr>
                <w:rFonts w:ascii="Arial" w:hAnsi="Arial" w:cs="Arial"/>
                <w:sz w:val="18"/>
              </w:rPr>
              <w:t>SA Water</w:t>
            </w:r>
          </w:p>
        </w:tc>
        <w:tc>
          <w:tcPr>
            <w:tcW w:w="3219" w:type="dxa"/>
            <w:tcBorders>
              <w:left w:val="single" w:sz="4" w:space="0" w:color="C0C0C0"/>
            </w:tcBorders>
          </w:tcPr>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Up to $30 for 3 star showerhead</w:t>
            </w:r>
          </w:p>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$150 for replacing a single flush toilet with a dual flush toilet suite</w:t>
            </w:r>
          </w:p>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$200 for 4 star washing machine</w:t>
            </w:r>
          </w:p>
        </w:tc>
      </w:tr>
      <w:tr w:rsidR="00000000">
        <w:tc>
          <w:tcPr>
            <w:tcW w:w="1384" w:type="dxa"/>
            <w:tcBorders>
              <w:right w:val="single" w:sz="4" w:space="0" w:color="C0C0C0"/>
            </w:tcBorders>
          </w:tcPr>
          <w:p w:rsidR="00000000" w:rsidRDefault="00D35856">
            <w:pPr>
              <w:keepNext w:val="0"/>
              <w:tabs>
                <w:tab w:val="left" w:pos="507"/>
              </w:tabs>
              <w:spacing w:after="0"/>
              <w:jc w:val="left"/>
              <w:rPr>
                <w:rFonts w:ascii="Arial" w:hAnsi="Arial" w:cs="Arial"/>
                <w:sz w:val="18"/>
              </w:rPr>
            </w:pPr>
            <w:r>
              <w:rPr>
                <w:rFonts w:ascii="Arial" w:hAnsi="Arial" w:cs="Arial"/>
                <w:sz w:val="18"/>
              </w:rPr>
              <w:t>NT (</w:t>
            </w:r>
            <w:smartTag w:uri="urn:schemas-microsoft-com:office:smarttags" w:element="City">
              <w:r>
                <w:rPr>
                  <w:rFonts w:ascii="Arial" w:hAnsi="Arial" w:cs="Arial"/>
                  <w:sz w:val="18"/>
                </w:rPr>
                <w:t>Alice Springs</w:t>
              </w:r>
            </w:smartTag>
            <w:r>
              <w:rPr>
                <w:rFonts w:ascii="Arial" w:hAnsi="Arial" w:cs="Arial"/>
                <w:sz w:val="18"/>
              </w:rPr>
              <w:t xml:space="preserve"> and Tennant Creek)</w:t>
            </w:r>
          </w:p>
        </w:tc>
        <w:tc>
          <w:tcPr>
            <w:tcW w:w="1985" w:type="dxa"/>
            <w:tcBorders>
              <w:left w:val="single" w:sz="4" w:space="0" w:color="C0C0C0"/>
              <w:right w:val="single" w:sz="4" w:space="0" w:color="C0C0C0"/>
            </w:tcBorders>
          </w:tcPr>
          <w:p w:rsidR="00000000" w:rsidRDefault="00D35856">
            <w:pPr>
              <w:keepNext w:val="0"/>
              <w:spacing w:after="0"/>
              <w:ind w:left="55"/>
              <w:jc w:val="left"/>
              <w:rPr>
                <w:rFonts w:ascii="Arial" w:hAnsi="Arial" w:cs="Arial"/>
                <w:sz w:val="18"/>
              </w:rPr>
            </w:pPr>
            <w:r>
              <w:rPr>
                <w:rFonts w:ascii="Arial" w:hAnsi="Arial" w:cs="Arial"/>
                <w:sz w:val="18"/>
              </w:rPr>
              <w:t xml:space="preserve">NT Waterwise </w:t>
            </w:r>
            <w:smartTag w:uri="urn:schemas-microsoft-com:office:smarttags" w:element="City">
              <w:r>
                <w:rPr>
                  <w:rFonts w:ascii="Arial" w:hAnsi="Arial" w:cs="Arial"/>
                  <w:sz w:val="18"/>
                </w:rPr>
                <w:t>Central Australia</w:t>
              </w:r>
            </w:smartTag>
            <w:r>
              <w:rPr>
                <w:rFonts w:ascii="Arial" w:hAnsi="Arial" w:cs="Arial"/>
                <w:sz w:val="18"/>
              </w:rPr>
              <w:t xml:space="preserve"> Rebate Scheme</w:t>
            </w:r>
          </w:p>
        </w:tc>
        <w:tc>
          <w:tcPr>
            <w:tcW w:w="2268" w:type="dxa"/>
            <w:tcBorders>
              <w:left w:val="single" w:sz="4" w:space="0" w:color="C0C0C0"/>
              <w:right w:val="single" w:sz="4" w:space="0" w:color="C0C0C0"/>
            </w:tcBorders>
          </w:tcPr>
          <w:p w:rsidR="00000000" w:rsidRDefault="00D35856">
            <w:pPr>
              <w:keepNext w:val="0"/>
              <w:spacing w:after="0"/>
              <w:ind w:left="55"/>
              <w:jc w:val="left"/>
              <w:rPr>
                <w:rFonts w:ascii="Arial" w:hAnsi="Arial" w:cs="Arial"/>
                <w:sz w:val="18"/>
              </w:rPr>
            </w:pPr>
            <w:r>
              <w:rPr>
                <w:rFonts w:ascii="Arial" w:hAnsi="Arial" w:cs="Arial"/>
                <w:sz w:val="18"/>
              </w:rPr>
              <w:t>NT Government Department of Natural Resource, the Environment and Arts</w:t>
            </w:r>
          </w:p>
        </w:tc>
        <w:tc>
          <w:tcPr>
            <w:tcW w:w="3219" w:type="dxa"/>
            <w:tcBorders>
              <w:left w:val="single" w:sz="4" w:space="0" w:color="C0C0C0"/>
            </w:tcBorders>
          </w:tcPr>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Up to $50 for 3 star showerhead, 4 star toilet or 4 star washing machine</w:t>
            </w:r>
          </w:p>
        </w:tc>
      </w:tr>
      <w:tr w:rsidR="00000000">
        <w:tc>
          <w:tcPr>
            <w:tcW w:w="1384" w:type="dxa"/>
            <w:tcBorders>
              <w:right w:val="single" w:sz="4" w:space="0" w:color="C0C0C0"/>
            </w:tcBorders>
          </w:tcPr>
          <w:p w:rsidR="00000000" w:rsidRDefault="00D35856">
            <w:pPr>
              <w:keepNext w:val="0"/>
              <w:spacing w:after="0"/>
              <w:jc w:val="left"/>
              <w:rPr>
                <w:rFonts w:ascii="Arial" w:hAnsi="Arial" w:cs="Arial"/>
                <w:sz w:val="18"/>
              </w:rPr>
            </w:pPr>
            <w:r>
              <w:rPr>
                <w:rFonts w:ascii="Arial" w:hAnsi="Arial" w:cs="Arial"/>
                <w:sz w:val="18"/>
              </w:rPr>
              <w:t xml:space="preserve">WA </w:t>
            </w:r>
          </w:p>
        </w:tc>
        <w:tc>
          <w:tcPr>
            <w:tcW w:w="1985" w:type="dxa"/>
            <w:tcBorders>
              <w:left w:val="single" w:sz="4" w:space="0" w:color="C0C0C0"/>
              <w:right w:val="single" w:sz="4" w:space="0" w:color="C0C0C0"/>
            </w:tcBorders>
          </w:tcPr>
          <w:p w:rsidR="00000000" w:rsidRDefault="00D35856">
            <w:pPr>
              <w:keepNext w:val="0"/>
              <w:spacing w:after="0"/>
              <w:ind w:left="55"/>
              <w:jc w:val="left"/>
              <w:rPr>
                <w:rFonts w:ascii="Arial" w:hAnsi="Arial" w:cs="Arial"/>
                <w:sz w:val="18"/>
              </w:rPr>
            </w:pPr>
            <w:r>
              <w:rPr>
                <w:rFonts w:ascii="Arial" w:hAnsi="Arial" w:cs="Arial"/>
                <w:sz w:val="18"/>
              </w:rPr>
              <w:t>Waterwise Rebate Program</w:t>
            </w:r>
          </w:p>
        </w:tc>
        <w:tc>
          <w:tcPr>
            <w:tcW w:w="2268" w:type="dxa"/>
            <w:tcBorders>
              <w:left w:val="single" w:sz="4" w:space="0" w:color="C0C0C0"/>
              <w:right w:val="single" w:sz="4" w:space="0" w:color="C0C0C0"/>
            </w:tcBorders>
          </w:tcPr>
          <w:p w:rsidR="00000000" w:rsidRDefault="00D35856">
            <w:pPr>
              <w:keepNext w:val="0"/>
              <w:spacing w:after="0"/>
              <w:ind w:left="55"/>
              <w:jc w:val="left"/>
              <w:rPr>
                <w:rFonts w:ascii="Arial" w:hAnsi="Arial" w:cs="Arial"/>
                <w:sz w:val="18"/>
              </w:rPr>
            </w:pPr>
            <w:r>
              <w:rPr>
                <w:rFonts w:ascii="Arial" w:hAnsi="Arial" w:cs="Arial"/>
                <w:sz w:val="18"/>
              </w:rPr>
              <w:t>WA Government Department of Water</w:t>
            </w:r>
          </w:p>
        </w:tc>
        <w:tc>
          <w:tcPr>
            <w:tcW w:w="3219" w:type="dxa"/>
            <w:tcBorders>
              <w:left w:val="single" w:sz="4" w:space="0" w:color="C0C0C0"/>
            </w:tcBorders>
          </w:tcPr>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$150 for 4 star washing machine</w:t>
            </w:r>
          </w:p>
        </w:tc>
      </w:tr>
      <w:tr w:rsidR="00000000">
        <w:tc>
          <w:tcPr>
            <w:tcW w:w="1384" w:type="dxa"/>
            <w:tcBorders>
              <w:right w:val="single" w:sz="4" w:space="0" w:color="C0C0C0"/>
            </w:tcBorders>
          </w:tcPr>
          <w:p w:rsidR="00000000" w:rsidRDefault="00D35856">
            <w:pPr>
              <w:keepNext w:val="0"/>
              <w:spacing w:after="0"/>
              <w:jc w:val="left"/>
              <w:rPr>
                <w:rFonts w:ascii="Arial" w:hAnsi="Arial" w:cs="Arial"/>
                <w:sz w:val="18"/>
              </w:rPr>
            </w:pPr>
            <w:smartTag w:uri="urn:schemas-microsoft-com:office:smarttags" w:element="City">
              <w:r>
                <w:rPr>
                  <w:rFonts w:ascii="Arial" w:hAnsi="Arial" w:cs="Arial"/>
                  <w:sz w:val="18"/>
                </w:rPr>
                <w:t>Victoria</w:t>
              </w:r>
            </w:smartTag>
            <w:r>
              <w:rPr>
                <w:rFonts w:ascii="Arial" w:hAnsi="Arial" w:cs="Arial"/>
                <w:sz w:val="18"/>
              </w:rPr>
              <w:t xml:space="preserve"> </w:t>
            </w:r>
          </w:p>
        </w:tc>
        <w:tc>
          <w:tcPr>
            <w:tcW w:w="1985" w:type="dxa"/>
            <w:tcBorders>
              <w:left w:val="single" w:sz="4" w:space="0" w:color="C0C0C0"/>
              <w:right w:val="single" w:sz="4" w:space="0" w:color="C0C0C0"/>
            </w:tcBorders>
          </w:tcPr>
          <w:p w:rsidR="00000000" w:rsidRDefault="00D35856">
            <w:pPr>
              <w:keepNext w:val="0"/>
              <w:spacing w:after="0"/>
              <w:ind w:left="55"/>
              <w:jc w:val="left"/>
              <w:rPr>
                <w:rFonts w:ascii="Arial" w:hAnsi="Arial" w:cs="Arial"/>
                <w:sz w:val="18"/>
              </w:rPr>
            </w:pPr>
            <w:smartTag w:uri="urn:schemas-microsoft-com:office:smarttags" w:element="City">
              <w:smartTag w:uri="urn:schemas-microsoft-com:office:smarttags" w:element="City">
                <w:r>
                  <w:rPr>
                    <w:rFonts w:ascii="Arial" w:hAnsi="Arial" w:cs="Arial"/>
                    <w:sz w:val="18"/>
                  </w:rPr>
                  <w:t>Water</w:t>
                </w:r>
              </w:smartTag>
              <w:r>
                <w:rPr>
                  <w:rFonts w:ascii="Arial" w:hAnsi="Arial" w:cs="Arial"/>
                  <w:sz w:val="18"/>
                </w:rPr>
                <w:t xml:space="preserve"> </w:t>
              </w:r>
              <w:smartTag w:uri="urn:schemas-microsoft-com:office:smarttags" w:element="City">
                <w:r>
                  <w:rPr>
                    <w:rFonts w:ascii="Arial" w:hAnsi="Arial" w:cs="Arial"/>
                    <w:sz w:val="18"/>
                  </w:rPr>
                  <w:t>Smart</w:t>
                </w:r>
              </w:smartTag>
              <w:r>
                <w:rPr>
                  <w:rFonts w:ascii="Arial" w:hAnsi="Arial" w:cs="Arial"/>
                  <w:sz w:val="18"/>
                </w:rPr>
                <w:t xml:space="preserve"> </w:t>
              </w:r>
              <w:smartTag w:uri="urn:schemas-microsoft-com:office:smarttags" w:element="City">
                <w:r>
                  <w:rPr>
                    <w:rFonts w:ascii="Arial" w:hAnsi="Arial" w:cs="Arial"/>
                    <w:sz w:val="18"/>
                  </w:rPr>
                  <w:t>Gardens</w:t>
                </w:r>
              </w:smartTag>
            </w:smartTag>
            <w:r>
              <w:rPr>
                <w:rFonts w:ascii="Arial" w:hAnsi="Arial" w:cs="Arial"/>
                <w:sz w:val="18"/>
              </w:rPr>
              <w:t xml:space="preserve"> and Homes Rebate Scheme</w:t>
            </w:r>
          </w:p>
        </w:tc>
        <w:tc>
          <w:tcPr>
            <w:tcW w:w="2268" w:type="dxa"/>
            <w:tcBorders>
              <w:left w:val="single" w:sz="4" w:space="0" w:color="C0C0C0"/>
              <w:right w:val="single" w:sz="4" w:space="0" w:color="C0C0C0"/>
            </w:tcBorders>
          </w:tcPr>
          <w:p w:rsidR="00000000" w:rsidRDefault="00D35856">
            <w:pPr>
              <w:keepNext w:val="0"/>
              <w:spacing w:after="0"/>
              <w:ind w:left="55"/>
              <w:jc w:val="left"/>
              <w:rPr>
                <w:rFonts w:ascii="Arial" w:hAnsi="Arial" w:cs="Arial"/>
                <w:sz w:val="18"/>
              </w:rPr>
            </w:pPr>
            <w:r>
              <w:rPr>
                <w:rFonts w:ascii="Arial" w:hAnsi="Arial" w:cs="Arial"/>
                <w:sz w:val="18"/>
              </w:rPr>
              <w:t>VIC Government Department of Sustainability and Environment in partnership with water businesses</w:t>
            </w:r>
          </w:p>
        </w:tc>
        <w:tc>
          <w:tcPr>
            <w:tcW w:w="3219" w:type="dxa"/>
            <w:tcBorders>
              <w:left w:val="single" w:sz="4" w:space="0" w:color="C0C0C0"/>
            </w:tcBorders>
          </w:tcPr>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$50 for 3 star toilet</w:t>
            </w:r>
          </w:p>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$10 or $20 for 3 star showerhead, depending on purchase price</w:t>
            </w:r>
          </w:p>
        </w:tc>
      </w:tr>
      <w:tr w:rsidR="00000000">
        <w:tc>
          <w:tcPr>
            <w:tcW w:w="1384" w:type="dxa"/>
            <w:tcBorders>
              <w:right w:val="single" w:sz="4" w:space="0" w:color="C0C0C0"/>
            </w:tcBorders>
          </w:tcPr>
          <w:p w:rsidR="00000000" w:rsidRDefault="00D35856">
            <w:pPr>
              <w:keepNext w:val="0"/>
              <w:spacing w:after="0"/>
              <w:jc w:val="left"/>
              <w:rPr>
                <w:rFonts w:ascii="Arial" w:hAnsi="Arial" w:cs="Arial"/>
                <w:sz w:val="18"/>
              </w:rPr>
            </w:pPr>
            <w:smartTag w:uri="urn:schemas-microsoft-com:office:smarttags" w:element="City">
              <w:r>
                <w:rPr>
                  <w:rFonts w:ascii="Arial" w:hAnsi="Arial" w:cs="Arial"/>
                  <w:sz w:val="18"/>
                </w:rPr>
                <w:t>Queensland</w:t>
              </w:r>
            </w:smartTag>
            <w:r>
              <w:rPr>
                <w:rFonts w:ascii="Arial" w:hAnsi="Arial" w:cs="Arial"/>
                <w:sz w:val="18"/>
              </w:rPr>
              <w:t xml:space="preserve"> (south-east </w:t>
            </w:r>
            <w:smartTag w:uri="urn:schemas-microsoft-com:office:smarttags" w:element="City">
              <w:r>
                <w:rPr>
                  <w:rFonts w:ascii="Arial" w:hAnsi="Arial" w:cs="Arial"/>
                  <w:sz w:val="18"/>
                </w:rPr>
                <w:t>Queensland</w:t>
              </w:r>
            </w:smartTag>
            <w:r>
              <w:rPr>
                <w:rFonts w:ascii="Arial" w:hAnsi="Arial" w:cs="Arial"/>
                <w:sz w:val="18"/>
              </w:rPr>
              <w:t>)</w:t>
            </w:r>
          </w:p>
        </w:tc>
        <w:tc>
          <w:tcPr>
            <w:tcW w:w="1985" w:type="dxa"/>
            <w:tcBorders>
              <w:left w:val="single" w:sz="4" w:space="0" w:color="C0C0C0"/>
              <w:right w:val="single" w:sz="4" w:space="0" w:color="C0C0C0"/>
            </w:tcBorders>
          </w:tcPr>
          <w:p w:rsidR="00000000" w:rsidRDefault="00D35856">
            <w:pPr>
              <w:keepNext w:val="0"/>
              <w:spacing w:after="0"/>
              <w:ind w:left="55"/>
              <w:jc w:val="left"/>
              <w:rPr>
                <w:rFonts w:ascii="Arial" w:hAnsi="Arial" w:cs="Arial"/>
                <w:sz w:val="18"/>
              </w:rPr>
            </w:pPr>
            <w:r>
              <w:rPr>
                <w:rFonts w:ascii="Arial" w:hAnsi="Arial" w:cs="Arial"/>
                <w:sz w:val="18"/>
              </w:rPr>
              <w:t>Home WaterWise Rebate Scheme</w:t>
            </w:r>
          </w:p>
        </w:tc>
        <w:tc>
          <w:tcPr>
            <w:tcW w:w="2268" w:type="dxa"/>
            <w:tcBorders>
              <w:left w:val="single" w:sz="4" w:space="0" w:color="C0C0C0"/>
              <w:right w:val="single" w:sz="4" w:space="0" w:color="C0C0C0"/>
            </w:tcBorders>
          </w:tcPr>
          <w:p w:rsidR="00000000" w:rsidRDefault="00D35856">
            <w:pPr>
              <w:keepNext w:val="0"/>
              <w:spacing w:after="0"/>
              <w:ind w:left="55"/>
              <w:jc w:val="left"/>
              <w:rPr>
                <w:rFonts w:ascii="Arial" w:hAnsi="Arial" w:cs="Arial"/>
                <w:sz w:val="18"/>
              </w:rPr>
            </w:pPr>
            <w:smartTag w:uri="urn:schemas-microsoft-com:office:smarttags" w:element="City">
              <w:r>
                <w:rPr>
                  <w:rFonts w:ascii="Arial" w:hAnsi="Arial" w:cs="Arial"/>
                  <w:sz w:val="18"/>
                </w:rPr>
                <w:t>Queensland</w:t>
              </w:r>
            </w:smartTag>
            <w:r>
              <w:rPr>
                <w:rFonts w:ascii="Arial" w:hAnsi="Arial" w:cs="Arial"/>
                <w:sz w:val="18"/>
              </w:rPr>
              <w:t xml:space="preserve"> Government</w:t>
            </w:r>
          </w:p>
        </w:tc>
        <w:tc>
          <w:tcPr>
            <w:tcW w:w="3219" w:type="dxa"/>
            <w:tcBorders>
              <w:left w:val="single" w:sz="4" w:space="0" w:color="C0C0C0"/>
            </w:tcBorders>
          </w:tcPr>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$200 for 4 star washing machine</w:t>
            </w:r>
          </w:p>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$150 for dual-flush toilet replacing existing single-flush toilet</w:t>
            </w:r>
          </w:p>
        </w:tc>
      </w:tr>
      <w:tr w:rsidR="00000000">
        <w:tc>
          <w:tcPr>
            <w:tcW w:w="1384" w:type="dxa"/>
            <w:tcBorders>
              <w:right w:val="single" w:sz="4" w:space="0" w:color="C0C0C0"/>
            </w:tcBorders>
          </w:tcPr>
          <w:p w:rsidR="00000000" w:rsidRDefault="00D35856">
            <w:pPr>
              <w:keepNext w:val="0"/>
              <w:spacing w:after="0"/>
              <w:jc w:val="left"/>
              <w:rPr>
                <w:rFonts w:ascii="Arial" w:hAnsi="Arial" w:cs="Arial"/>
                <w:sz w:val="18"/>
              </w:rPr>
            </w:pPr>
            <w:r>
              <w:rPr>
                <w:rFonts w:ascii="Arial" w:hAnsi="Arial" w:cs="Arial"/>
                <w:sz w:val="18"/>
              </w:rPr>
              <w:t>NSW (Sydney)</w:t>
            </w:r>
          </w:p>
        </w:tc>
        <w:tc>
          <w:tcPr>
            <w:tcW w:w="1985" w:type="dxa"/>
            <w:tcBorders>
              <w:left w:val="single" w:sz="4" w:space="0" w:color="C0C0C0"/>
              <w:right w:val="single" w:sz="4" w:space="0" w:color="C0C0C0"/>
            </w:tcBorders>
          </w:tcPr>
          <w:p w:rsidR="00000000" w:rsidRDefault="00D35856">
            <w:pPr>
              <w:keepNext w:val="0"/>
              <w:spacing w:after="0"/>
              <w:ind w:left="55"/>
              <w:jc w:val="left"/>
              <w:rPr>
                <w:rFonts w:ascii="Arial" w:hAnsi="Arial" w:cs="Arial"/>
                <w:sz w:val="18"/>
              </w:rPr>
            </w:pPr>
            <w:r>
              <w:rPr>
                <w:rFonts w:ascii="Arial" w:hAnsi="Arial" w:cs="Arial"/>
                <w:sz w:val="18"/>
              </w:rPr>
              <w:t>Washing machine rebate</w:t>
            </w:r>
          </w:p>
        </w:tc>
        <w:tc>
          <w:tcPr>
            <w:tcW w:w="2268" w:type="dxa"/>
            <w:tcBorders>
              <w:left w:val="single" w:sz="4" w:space="0" w:color="C0C0C0"/>
              <w:right w:val="single" w:sz="4" w:space="0" w:color="C0C0C0"/>
            </w:tcBorders>
          </w:tcPr>
          <w:p w:rsidR="00000000" w:rsidRDefault="00D35856">
            <w:pPr>
              <w:keepNext w:val="0"/>
              <w:spacing w:after="0"/>
              <w:ind w:left="55"/>
              <w:jc w:val="left"/>
              <w:rPr>
                <w:rFonts w:ascii="Arial" w:hAnsi="Arial" w:cs="Arial"/>
                <w:sz w:val="18"/>
              </w:rPr>
            </w:pPr>
            <w:r>
              <w:rPr>
                <w:rFonts w:ascii="Arial" w:hAnsi="Arial" w:cs="Arial"/>
                <w:sz w:val="18"/>
              </w:rPr>
              <w:t>Sydney Water</w:t>
            </w:r>
          </w:p>
        </w:tc>
        <w:tc>
          <w:tcPr>
            <w:tcW w:w="3219" w:type="dxa"/>
            <w:tcBorders>
              <w:left w:val="single" w:sz="4" w:space="0" w:color="C0C0C0"/>
            </w:tcBorders>
          </w:tcPr>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$150 for 4 star washing machine.</w:t>
            </w:r>
          </w:p>
        </w:tc>
      </w:tr>
      <w:tr w:rsidR="00000000">
        <w:tc>
          <w:tcPr>
            <w:tcW w:w="1384" w:type="dxa"/>
            <w:tcBorders>
              <w:right w:val="single" w:sz="4" w:space="0" w:color="C0C0C0"/>
            </w:tcBorders>
          </w:tcPr>
          <w:p w:rsidR="00000000" w:rsidRDefault="00D35856">
            <w:pPr>
              <w:keepNext w:val="0"/>
              <w:spacing w:after="0"/>
              <w:jc w:val="left"/>
              <w:rPr>
                <w:rFonts w:ascii="Arial" w:hAnsi="Arial" w:cs="Arial"/>
                <w:sz w:val="18"/>
              </w:rPr>
            </w:pPr>
            <w:smartTag w:uri="urn:schemas-microsoft-com:office:smarttags" w:element="City">
              <w:r>
                <w:rPr>
                  <w:rFonts w:ascii="Arial" w:hAnsi="Arial" w:cs="Arial"/>
                  <w:sz w:val="18"/>
                </w:rPr>
                <w:t>Tasmania</w:t>
              </w:r>
            </w:smartTag>
            <w:r>
              <w:rPr>
                <w:rFonts w:ascii="Arial" w:hAnsi="Arial" w:cs="Arial"/>
                <w:sz w:val="18"/>
              </w:rPr>
              <w:t xml:space="preserve"> (</w:t>
            </w:r>
            <w:smartTag w:uri="urn:schemas-microsoft-com:office:smarttags" w:element="City">
              <w:r>
                <w:rPr>
                  <w:rFonts w:ascii="Arial" w:hAnsi="Arial" w:cs="Arial"/>
                  <w:sz w:val="18"/>
                </w:rPr>
                <w:t>Hobart</w:t>
              </w:r>
            </w:smartTag>
            <w:r>
              <w:rPr>
                <w:rFonts w:ascii="Arial" w:hAnsi="Arial" w:cs="Arial"/>
                <w:sz w:val="18"/>
              </w:rPr>
              <w:t>)</w:t>
            </w:r>
          </w:p>
        </w:tc>
        <w:tc>
          <w:tcPr>
            <w:tcW w:w="1985" w:type="dxa"/>
            <w:tcBorders>
              <w:left w:val="single" w:sz="4" w:space="0" w:color="C0C0C0"/>
              <w:right w:val="single" w:sz="4" w:space="0" w:color="C0C0C0"/>
            </w:tcBorders>
          </w:tcPr>
          <w:p w:rsidR="00000000" w:rsidRDefault="00D35856">
            <w:pPr>
              <w:keepNext w:val="0"/>
              <w:spacing w:after="0"/>
              <w:ind w:left="55"/>
              <w:jc w:val="left"/>
              <w:rPr>
                <w:rFonts w:ascii="Arial" w:hAnsi="Arial" w:cs="Arial"/>
                <w:sz w:val="18"/>
              </w:rPr>
            </w:pPr>
            <w:r>
              <w:rPr>
                <w:rFonts w:ascii="Arial" w:hAnsi="Arial" w:cs="Arial"/>
                <w:sz w:val="18"/>
              </w:rPr>
              <w:t>Rebate Scheme</w:t>
            </w:r>
          </w:p>
        </w:tc>
        <w:tc>
          <w:tcPr>
            <w:tcW w:w="2268" w:type="dxa"/>
            <w:tcBorders>
              <w:left w:val="single" w:sz="4" w:space="0" w:color="C0C0C0"/>
              <w:right w:val="single" w:sz="4" w:space="0" w:color="C0C0C0"/>
            </w:tcBorders>
          </w:tcPr>
          <w:p w:rsidR="00000000" w:rsidRDefault="00D35856">
            <w:pPr>
              <w:keepNext w:val="0"/>
              <w:spacing w:after="0"/>
              <w:ind w:left="55"/>
              <w:jc w:val="left"/>
              <w:rPr>
                <w:rFonts w:ascii="Arial" w:hAnsi="Arial" w:cs="Arial"/>
                <w:sz w:val="18"/>
              </w:rPr>
            </w:pPr>
            <w:smartTag w:uri="urn:schemas-microsoft-com:office:smarttags" w:element="City">
              <w:r>
                <w:rPr>
                  <w:rFonts w:ascii="Arial" w:hAnsi="Arial" w:cs="Arial"/>
                  <w:sz w:val="18"/>
                </w:rPr>
                <w:t>Hobart</w:t>
              </w:r>
            </w:smartTag>
            <w:r>
              <w:rPr>
                <w:rFonts w:ascii="Arial" w:hAnsi="Arial" w:cs="Arial"/>
                <w:sz w:val="18"/>
              </w:rPr>
              <w:t xml:space="preserve"> City Council</w:t>
            </w:r>
          </w:p>
        </w:tc>
        <w:tc>
          <w:tcPr>
            <w:tcW w:w="3219" w:type="dxa"/>
            <w:tcBorders>
              <w:left w:val="single" w:sz="4" w:space="0" w:color="C0C0C0"/>
            </w:tcBorders>
          </w:tcPr>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$50 for dual-flush toilet replacing existing single-flush toilet</w:t>
            </w:r>
          </w:p>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$12 for 3 star showerhead</w:t>
            </w:r>
          </w:p>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$12 for 3 star tapware</w:t>
            </w:r>
          </w:p>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$105 for 4 star washing machine</w:t>
            </w:r>
          </w:p>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$105 for 4 star dishwasher</w:t>
            </w:r>
          </w:p>
        </w:tc>
      </w:tr>
    </w:tbl>
    <w:p w:rsidR="00000000" w:rsidRDefault="00D35856">
      <w:pPr>
        <w:keepNext w:val="0"/>
        <w:rPr>
          <w:sz w:val="18"/>
          <w:szCs w:val="18"/>
        </w:rPr>
      </w:pPr>
      <w:r>
        <w:rPr>
          <w:sz w:val="18"/>
          <w:szCs w:val="18"/>
        </w:rPr>
        <w:t>Note: rebates available as at December 2007. Indicates minimum star rating required for rebate.</w:t>
      </w:r>
    </w:p>
    <w:p w:rsidR="00000000" w:rsidRDefault="00D35856">
      <w:pPr>
        <w:pStyle w:val="Heading3"/>
        <w:keepNext w:val="0"/>
        <w:pageBreakBefore/>
        <w:numPr>
          <w:ilvl w:val="2"/>
          <w:numId w:val="3"/>
        </w:numPr>
        <w:tabs>
          <w:tab w:val="clear" w:pos="1440"/>
        </w:tabs>
        <w:ind w:left="851" w:hanging="851"/>
        <w:rPr>
          <w:color w:val="auto"/>
        </w:rPr>
      </w:pPr>
      <w:bookmarkStart w:id="36" w:name="_Toc199933731"/>
      <w:r>
        <w:rPr>
          <w:color w:val="auto"/>
        </w:rPr>
        <w:lastRenderedPageBreak/>
        <w:t>Regulations</w:t>
      </w:r>
      <w:bookmarkEnd w:id="36"/>
    </w:p>
    <w:p w:rsidR="00000000" w:rsidRDefault="00D35856">
      <w:pPr>
        <w:pStyle w:val="Heading4"/>
        <w:keepNext w:val="0"/>
        <w:rPr>
          <w:color w:val="auto"/>
        </w:rPr>
      </w:pPr>
      <w:r>
        <w:rPr>
          <w:color w:val="auto"/>
        </w:rPr>
        <w:t>Building regulations</w:t>
      </w:r>
    </w:p>
    <w:p w:rsidR="00000000" w:rsidRDefault="00D35856">
      <w:pPr>
        <w:keepNext w:val="0"/>
      </w:pPr>
      <w:r>
        <w:t>A significant influence on the levels of water efficiency in different states is the nature of regulations on new buildings. In NSW, BASIX regulations effectively require all households in NSW to adopt low-flow showerheads, as this is one of the cheapest m</w:t>
      </w:r>
      <w:r>
        <w:t xml:space="preserve">eans of meeting the 40% water reduction target. Apartments in NSW can also claim savings which result from installing an efficient washing machine toward their water reduction target. In </w:t>
      </w:r>
      <w:smartTag w:uri="urn:schemas-microsoft-com:office:smarttags" w:element="City">
        <w:r>
          <w:t>Victoria</w:t>
        </w:r>
      </w:smartTag>
      <w:r>
        <w:t>, the 5 Star sustainable building standard effectively re</w:t>
      </w:r>
      <w:r>
        <w:t xml:space="preserve">quires that new and renovated households must have </w:t>
      </w:r>
      <w:smartTag w:uri="urn:schemas-microsoft-com:office:smarttags" w:element="City">
        <w:r>
          <w:t>WELS</w:t>
        </w:r>
      </w:smartTag>
      <w:r>
        <w:t xml:space="preserve"> rated fixtures, resulting in the increase in water efficiency across the state. </w:t>
      </w:r>
    </w:p>
    <w:p w:rsidR="00000000" w:rsidRDefault="00D35856">
      <w:pPr>
        <w:pStyle w:val="Caption"/>
        <w:keepNext w:val="0"/>
      </w:pPr>
      <w:bookmarkStart w:id="37" w:name="_Toc199933783"/>
      <w:r>
        <w:t xml:space="preserve">Table </w:t>
      </w:r>
      <w:r>
        <w:fldChar w:fldCharType="begin"/>
      </w:r>
      <w:r>
        <w:instrText xml:space="preserve"> STYLEREF 1 \s </w:instrText>
      </w:r>
      <w:r>
        <w:fldChar w:fldCharType="separate"/>
      </w:r>
      <w:r>
        <w:rPr>
          <w:noProof/>
        </w:rPr>
        <w:t>2</w:t>
      </w:r>
      <w:r>
        <w:fldChar w:fldCharType="end"/>
      </w:r>
      <w:r>
        <w:noBreakHyphen/>
      </w:r>
      <w:r>
        <w:fldChar w:fldCharType="begin"/>
      </w:r>
      <w:r>
        <w:instrText xml:space="preserve"> SEQ Table \* ARABIC \s 1 </w:instrText>
      </w:r>
      <w:r>
        <w:fldChar w:fldCharType="separate"/>
      </w:r>
      <w:r>
        <w:rPr>
          <w:noProof/>
        </w:rPr>
        <w:t>2</w:t>
      </w:r>
      <w:r>
        <w:fldChar w:fldCharType="end"/>
      </w:r>
      <w:r>
        <w:t>: Selected state based building regulation</w:t>
      </w:r>
      <w:r>
        <w:t xml:space="preserve">s and their link to </w:t>
      </w:r>
      <w:smartTag w:uri="urn:schemas-microsoft-com:office:smarttags" w:element="City">
        <w:r>
          <w:t>WELS</w:t>
        </w:r>
      </w:smartTag>
      <w:r>
        <w:t xml:space="preserve"> products</w:t>
      </w:r>
      <w:bookmarkEnd w:id="37"/>
    </w:p>
    <w:tbl>
      <w:tblPr>
        <w:tblStyle w:val="TableGrid"/>
        <w:tblW w:w="8505" w:type="dxa"/>
        <w:tblInd w:w="108" w:type="dxa"/>
        <w:tblLook w:val="01E0"/>
      </w:tblPr>
      <w:tblGrid>
        <w:gridCol w:w="1932"/>
        <w:gridCol w:w="6573"/>
      </w:tblGrid>
      <w:tr w:rsidR="00000000">
        <w:tc>
          <w:tcPr>
            <w:tcW w:w="1932" w:type="dxa"/>
            <w:shd w:val="clear" w:color="auto" w:fill="CCCCCC"/>
          </w:tcPr>
          <w:p w:rsidR="00000000" w:rsidRDefault="00D35856">
            <w:pPr>
              <w:keepNext w:val="0"/>
              <w:spacing w:after="0"/>
              <w:rPr>
                <w:rFonts w:ascii="Arial" w:hAnsi="Arial" w:cs="Arial"/>
                <w:b/>
                <w:sz w:val="20"/>
              </w:rPr>
            </w:pPr>
            <w:r>
              <w:rPr>
                <w:rFonts w:ascii="Arial" w:hAnsi="Arial" w:cs="Arial"/>
                <w:b/>
                <w:sz w:val="20"/>
              </w:rPr>
              <w:t>Area</w:t>
            </w:r>
          </w:p>
        </w:tc>
        <w:tc>
          <w:tcPr>
            <w:tcW w:w="6573" w:type="dxa"/>
            <w:shd w:val="clear" w:color="auto" w:fill="CCCCCC"/>
          </w:tcPr>
          <w:p w:rsidR="00000000" w:rsidRDefault="00D35856">
            <w:pPr>
              <w:keepNext w:val="0"/>
              <w:spacing w:after="0"/>
              <w:jc w:val="center"/>
              <w:rPr>
                <w:rFonts w:ascii="Arial" w:hAnsi="Arial" w:cs="Arial"/>
                <w:b/>
                <w:sz w:val="20"/>
              </w:rPr>
            </w:pPr>
            <w:r>
              <w:rPr>
                <w:rFonts w:ascii="Arial" w:hAnsi="Arial" w:cs="Arial"/>
                <w:b/>
                <w:sz w:val="20"/>
              </w:rPr>
              <w:t>WELS-related regulation</w:t>
            </w:r>
          </w:p>
        </w:tc>
      </w:tr>
      <w:tr w:rsidR="00000000">
        <w:tc>
          <w:tcPr>
            <w:tcW w:w="1932" w:type="dxa"/>
          </w:tcPr>
          <w:p w:rsidR="00000000" w:rsidRDefault="00D35856">
            <w:pPr>
              <w:keepNext w:val="0"/>
              <w:spacing w:after="0"/>
              <w:rPr>
                <w:rFonts w:ascii="Arial" w:hAnsi="Arial" w:cs="Arial"/>
                <w:sz w:val="18"/>
              </w:rPr>
            </w:pPr>
            <w:smartTag w:uri="urn:schemas-microsoft-com:office:smarttags" w:element="City">
              <w:r>
                <w:rPr>
                  <w:rFonts w:ascii="Arial" w:hAnsi="Arial" w:cs="Arial"/>
                  <w:sz w:val="18"/>
                </w:rPr>
                <w:t>Western Australia</w:t>
              </w:r>
            </w:smartTag>
          </w:p>
        </w:tc>
        <w:tc>
          <w:tcPr>
            <w:tcW w:w="6573" w:type="dxa"/>
          </w:tcPr>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All tap fittings other than bath outlets and garden taps are minimum 4 star</w:t>
            </w:r>
          </w:p>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All showerheads are minimum 3 star</w:t>
            </w:r>
          </w:p>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All toilets are minimum 4 star</w:t>
            </w:r>
          </w:p>
        </w:tc>
      </w:tr>
      <w:tr w:rsidR="00000000">
        <w:tc>
          <w:tcPr>
            <w:tcW w:w="1932" w:type="dxa"/>
          </w:tcPr>
          <w:p w:rsidR="00000000" w:rsidRDefault="00D35856">
            <w:pPr>
              <w:keepNext w:val="0"/>
              <w:tabs>
                <w:tab w:val="left" w:pos="507"/>
              </w:tabs>
              <w:spacing w:after="0"/>
              <w:rPr>
                <w:rFonts w:ascii="Arial" w:hAnsi="Arial" w:cs="Arial"/>
                <w:sz w:val="18"/>
              </w:rPr>
            </w:pPr>
            <w:smartTag w:uri="urn:schemas-microsoft-com:office:smarttags" w:element="City">
              <w:r>
                <w:rPr>
                  <w:rFonts w:ascii="Arial" w:hAnsi="Arial" w:cs="Arial"/>
                  <w:sz w:val="18"/>
                </w:rPr>
                <w:t>Queensland</w:t>
              </w:r>
            </w:smartTag>
          </w:p>
        </w:tc>
        <w:tc>
          <w:tcPr>
            <w:tcW w:w="6573" w:type="dxa"/>
          </w:tcPr>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All showerheads are minimum 3 star</w:t>
            </w:r>
          </w:p>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All toilets are dual-flush</w:t>
            </w:r>
          </w:p>
        </w:tc>
      </w:tr>
      <w:tr w:rsidR="00000000">
        <w:tc>
          <w:tcPr>
            <w:tcW w:w="1932" w:type="dxa"/>
          </w:tcPr>
          <w:p w:rsidR="00000000" w:rsidRDefault="00D35856">
            <w:pPr>
              <w:keepNext w:val="0"/>
              <w:spacing w:after="0"/>
              <w:rPr>
                <w:rFonts w:ascii="Arial" w:hAnsi="Arial" w:cs="Arial"/>
                <w:sz w:val="18"/>
              </w:rPr>
            </w:pPr>
            <w:smartTag w:uri="urn:schemas-microsoft-com:office:smarttags" w:element="City">
              <w:r>
                <w:rPr>
                  <w:rFonts w:ascii="Arial" w:hAnsi="Arial" w:cs="Arial"/>
                  <w:sz w:val="18"/>
                </w:rPr>
                <w:t>Victoria</w:t>
              </w:r>
            </w:smartTag>
            <w:r>
              <w:rPr>
                <w:rFonts w:ascii="Arial" w:hAnsi="Arial" w:cs="Arial"/>
                <w:sz w:val="18"/>
              </w:rPr>
              <w:t xml:space="preserve"> – 5 star houses</w:t>
            </w:r>
          </w:p>
        </w:tc>
        <w:tc>
          <w:tcPr>
            <w:tcW w:w="6573" w:type="dxa"/>
          </w:tcPr>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Showerheads, basins, kitchen sinks and laundry trough tap flow rates cannot be more than 9L/min or less than 7.5 L/min.</w:t>
            </w:r>
          </w:p>
        </w:tc>
      </w:tr>
    </w:tbl>
    <w:p w:rsidR="00000000" w:rsidRDefault="00D35856">
      <w:pPr>
        <w:keepNext w:val="0"/>
        <w:jc w:val="left"/>
        <w:rPr>
          <w:rFonts w:ascii="Arial" w:hAnsi="Arial" w:cs="Arial"/>
          <w:sz w:val="18"/>
          <w:szCs w:val="18"/>
        </w:rPr>
      </w:pPr>
      <w:r>
        <w:rPr>
          <w:rFonts w:ascii="Arial" w:hAnsi="Arial" w:cs="Arial"/>
          <w:sz w:val="18"/>
          <w:szCs w:val="18"/>
        </w:rPr>
        <w:t xml:space="preserve">Notes: on new homes as at December 2007. </w:t>
      </w:r>
      <w:r>
        <w:rPr>
          <w:rFonts w:ascii="Arial" w:hAnsi="Arial" w:cs="Arial"/>
          <w:sz w:val="18"/>
          <w:szCs w:val="18"/>
        </w:rPr>
        <w:br/>
        <w:t>Some of the above regulations also apply to major renovations</w:t>
      </w:r>
    </w:p>
    <w:p w:rsidR="00000000" w:rsidRDefault="00D35856">
      <w:pPr>
        <w:pStyle w:val="Heading4"/>
        <w:keepNext w:val="0"/>
        <w:rPr>
          <w:color w:val="auto"/>
        </w:rPr>
      </w:pPr>
      <w:r>
        <w:rPr>
          <w:color w:val="auto"/>
        </w:rPr>
        <w:t>Minimum standards</w:t>
      </w:r>
    </w:p>
    <w:p w:rsidR="00000000" w:rsidRDefault="00D35856">
      <w:pPr>
        <w:keepNext w:val="0"/>
        <w:spacing w:after="120"/>
      </w:pPr>
      <w:smartTag w:uri="urn:schemas-microsoft-com:office:smarttags" w:element="City">
        <w:r>
          <w:t>WELS</w:t>
        </w:r>
      </w:smartTag>
      <w:r>
        <w:t xml:space="preserve"> </w:t>
      </w:r>
      <w:r>
        <w:t xml:space="preserve">is also a potential mechanism for ensuring Australia-wide compliance with minimum standards. Because labelling under </w:t>
      </w:r>
      <w:smartTag w:uri="urn:schemas-microsoft-com:office:smarttags" w:element="City">
        <w:r>
          <w:t>WELS</w:t>
        </w:r>
      </w:smartTag>
      <w:r>
        <w:t xml:space="preserve"> is mandatory for all pathways of sale to end-user, it could facilitate the comprehensive adoption of minimum water efficiency </w:t>
      </w:r>
      <w:r>
        <w:t xml:space="preserve">standards. This has already been implemented for toilets, where single flush toilets are no longer manufactured for selling in </w:t>
      </w:r>
      <w:smartTag w:uri="urn:schemas-microsoft-com:office:smarttags" w:element="City">
        <w:r>
          <w:t>Australia</w:t>
        </w:r>
      </w:smartTag>
      <w:r>
        <w:t xml:space="preserve">, and is currently being considered as an approach to other </w:t>
      </w:r>
      <w:smartTag w:uri="urn:schemas-microsoft-com:office:smarttags" w:element="City">
        <w:r>
          <w:t>WELS</w:t>
        </w:r>
      </w:smartTag>
      <w:r>
        <w:t xml:space="preserve"> products such as washing machines and showe</w:t>
      </w:r>
      <w:r>
        <w:t xml:space="preserve">rheads. </w:t>
      </w:r>
    </w:p>
    <w:p w:rsidR="00000000" w:rsidRDefault="00D35856">
      <w:pPr>
        <w:keepNext w:val="0"/>
        <w:spacing w:after="120"/>
      </w:pPr>
      <w:r>
        <w:t xml:space="preserve">Minimum standards are an important mechanism to lock-in savings achieved under the </w:t>
      </w:r>
      <w:smartTag w:uri="urn:schemas-microsoft-com:office:smarttags" w:element="City">
        <w:r>
          <w:t>WELS</w:t>
        </w:r>
      </w:smartTag>
      <w:r>
        <w:t xml:space="preserve"> program. Whilst </w:t>
      </w:r>
      <w:smartTag w:uri="urn:schemas-microsoft-com:office:smarttags" w:element="City">
        <w:r>
          <w:t>WELS</w:t>
        </w:r>
      </w:smartTag>
      <w:r>
        <w:t xml:space="preserve"> may deliver more permanent water savings than restrictions, complete lock-in </w:t>
      </w:r>
      <w:r>
        <w:t xml:space="preserve">of water savings can only be achieved through minimum standards on </w:t>
      </w:r>
      <w:smartTag w:uri="urn:schemas-microsoft-com:office:smarttags" w:element="City">
        <w:r>
          <w:t>WELS</w:t>
        </w:r>
      </w:smartTag>
      <w:r>
        <w:t xml:space="preserve"> rated products. This is particularly important for products such as showerheads, where it is possible to easily change the fixture to a less efficient model. </w:t>
      </w:r>
    </w:p>
    <w:p w:rsidR="00000000" w:rsidRDefault="00D35856">
      <w:pPr>
        <w:pStyle w:val="Heading2"/>
        <w:numPr>
          <w:ilvl w:val="1"/>
          <w:numId w:val="3"/>
        </w:numPr>
        <w:tabs>
          <w:tab w:val="clear" w:pos="1296"/>
        </w:tabs>
        <w:ind w:left="567" w:hanging="567"/>
        <w:rPr>
          <w:color w:val="auto"/>
        </w:rPr>
      </w:pPr>
      <w:bookmarkStart w:id="38" w:name="_Toc199933732"/>
      <w:bookmarkEnd w:id="28"/>
      <w:r>
        <w:rPr>
          <w:color w:val="auto"/>
        </w:rPr>
        <w:t xml:space="preserve">Analysis of costs and benefits due to </w:t>
      </w:r>
      <w:smartTag w:uri="urn:schemas-microsoft-com:office:smarttags" w:element="City">
        <w:r>
          <w:rPr>
            <w:color w:val="auto"/>
          </w:rPr>
          <w:t>WELS</w:t>
        </w:r>
      </w:smartTag>
      <w:bookmarkEnd w:id="38"/>
    </w:p>
    <w:p w:rsidR="00000000" w:rsidRDefault="00D35856">
      <w:pPr>
        <w:keepNext w:val="0"/>
        <w:widowControl w:val="0"/>
      </w:pPr>
      <w:r>
        <w:t xml:space="preserve">The key elements of analysing the costs and benefits due to </w:t>
      </w:r>
      <w:smartTag w:uri="urn:schemas-microsoft-com:office:smarttags" w:element="City">
        <w:r>
          <w:t>WELS</w:t>
        </w:r>
      </w:smartTag>
      <w:r>
        <w:t xml:space="preserve"> include:</w:t>
      </w:r>
    </w:p>
    <w:p w:rsidR="00000000" w:rsidRDefault="00D35856">
      <w:pPr>
        <w:keepNext w:val="0"/>
        <w:widowControl w:val="0"/>
        <w:numPr>
          <w:ilvl w:val="0"/>
          <w:numId w:val="4"/>
        </w:numPr>
        <w:tabs>
          <w:tab w:val="clear" w:pos="720"/>
          <w:tab w:val="num" w:pos="360"/>
        </w:tabs>
        <w:ind w:left="360"/>
      </w:pPr>
      <w:r>
        <w:rPr>
          <w:b/>
        </w:rPr>
        <w:t>Setting the boundaries of analysis</w:t>
      </w:r>
      <w:r>
        <w:t xml:space="preserve">, which involves identifying the key stakeholders affected by </w:t>
      </w:r>
      <w:smartTag w:uri="urn:schemas-microsoft-com:office:smarttags" w:element="City">
        <w:r>
          <w:t>WELS</w:t>
        </w:r>
      </w:smartTag>
      <w:r>
        <w:t xml:space="preserve"> and the costs and benefits affecting these stakeholder compared to business-as-usual (Mitchell </w:t>
      </w:r>
      <w:r>
        <w:rPr>
          <w:i/>
        </w:rPr>
        <w:t>et al.</w:t>
      </w:r>
      <w:r>
        <w:t>, 2007). Both market and non-market impacts (e.g. externalities) should be identified.</w:t>
      </w:r>
    </w:p>
    <w:p w:rsidR="00000000" w:rsidRDefault="00D35856">
      <w:pPr>
        <w:keepNext w:val="0"/>
        <w:widowControl w:val="0"/>
        <w:numPr>
          <w:ilvl w:val="0"/>
          <w:numId w:val="4"/>
        </w:numPr>
        <w:tabs>
          <w:tab w:val="clear" w:pos="720"/>
          <w:tab w:val="num" w:pos="360"/>
        </w:tabs>
        <w:ind w:left="360"/>
      </w:pPr>
      <w:r>
        <w:rPr>
          <w:b/>
        </w:rPr>
        <w:t>Identifying transfer costs and whole-of-society costs</w:t>
      </w:r>
      <w:r>
        <w:t xml:space="preserve"> to determine which impacts are relevant for distributional analysis, and which impacts are relevant for comparative cost-effectiveness analysis.</w:t>
      </w:r>
    </w:p>
    <w:p w:rsidR="00000000" w:rsidRDefault="00D35856">
      <w:pPr>
        <w:keepNext w:val="0"/>
        <w:widowControl w:val="0"/>
        <w:numPr>
          <w:ilvl w:val="0"/>
          <w:numId w:val="4"/>
        </w:numPr>
        <w:tabs>
          <w:tab w:val="clear" w:pos="720"/>
          <w:tab w:val="num" w:pos="360"/>
        </w:tabs>
        <w:ind w:left="360"/>
      </w:pPr>
      <w:r>
        <w:rPr>
          <w:b/>
        </w:rPr>
        <w:t>Measuring costs and benefits</w:t>
      </w:r>
      <w:r>
        <w:t xml:space="preserve"> in ways appropriate to the extent of and uncertainty </w:t>
      </w:r>
      <w:r>
        <w:lastRenderedPageBreak/>
        <w:t>in available data. There a</w:t>
      </w:r>
      <w:r>
        <w:t>re many available methods for quantifying and/or placing dollar values on costs and benefits, but not all may yield meaningful results.</w:t>
      </w:r>
    </w:p>
    <w:p w:rsidR="00000000" w:rsidRDefault="00D35856">
      <w:pPr>
        <w:pStyle w:val="Heading3"/>
        <w:keepNext w:val="0"/>
        <w:numPr>
          <w:ilvl w:val="2"/>
          <w:numId w:val="3"/>
        </w:numPr>
        <w:tabs>
          <w:tab w:val="clear" w:pos="1440"/>
        </w:tabs>
        <w:ind w:left="851" w:hanging="851"/>
        <w:rPr>
          <w:color w:val="auto"/>
        </w:rPr>
      </w:pPr>
      <w:bookmarkStart w:id="39" w:name="_Toc199933733"/>
      <w:r>
        <w:rPr>
          <w:color w:val="auto"/>
        </w:rPr>
        <w:t>Boundaries of analysis and stakeholder perspectives</w:t>
      </w:r>
      <w:bookmarkEnd w:id="39"/>
    </w:p>
    <w:p w:rsidR="00000000" w:rsidRDefault="00D35856">
      <w:pPr>
        <w:keepNext w:val="0"/>
        <w:widowControl w:val="0"/>
      </w:pPr>
      <w:fldSimple w:instr=" REF _Ref188067787 \h  \* MERGEFORMAT ">
        <w:r>
          <w:t xml:space="preserve">Figure </w:t>
        </w:r>
        <w:r>
          <w:rPr>
            <w:noProof/>
          </w:rPr>
          <w:t>2</w:t>
        </w:r>
        <w:r>
          <w:rPr>
            <w:noProof/>
          </w:rPr>
          <w:noBreakHyphen/>
          <w:t>2</w:t>
        </w:r>
      </w:fldSimple>
      <w:r>
        <w:t xml:space="preserve"> illustrates the boundaries of analysis and stakeholder identification underpinning the analysis of costs and benefits in this study. </w:t>
      </w:r>
    </w:p>
    <w:p w:rsidR="00000000" w:rsidRDefault="00D35856">
      <w:pPr>
        <w:pStyle w:val="Caption"/>
        <w:keepNext w:val="0"/>
      </w:pPr>
      <w:bookmarkStart w:id="40" w:name="_Ref188067787"/>
      <w:bookmarkStart w:id="41" w:name="_Toc191475251"/>
      <w:bookmarkStart w:id="42" w:name="_Toc199933814"/>
      <w:r>
        <w:t>Fig</w:t>
      </w:r>
      <w:r>
        <w:t xml:space="preserve">ure </w:t>
      </w:r>
      <w:r>
        <w:fldChar w:fldCharType="begin"/>
      </w:r>
      <w:r>
        <w:instrText xml:space="preserve"> STYLEREF 1 \s </w:instrText>
      </w:r>
      <w:r>
        <w:fldChar w:fldCharType="separate"/>
      </w:r>
      <w:r>
        <w:rPr>
          <w:noProof/>
        </w:rPr>
        <w:t>2</w:t>
      </w:r>
      <w:r>
        <w:fldChar w:fldCharType="end"/>
      </w:r>
      <w:r>
        <w:noBreakHyphen/>
      </w:r>
      <w:r>
        <w:fldChar w:fldCharType="begin"/>
      </w:r>
      <w:r>
        <w:instrText xml:space="preserve"> SEQ Figure \* ARABIC \s 1 </w:instrText>
      </w:r>
      <w:r>
        <w:fldChar w:fldCharType="separate"/>
      </w:r>
      <w:r>
        <w:rPr>
          <w:noProof/>
        </w:rPr>
        <w:t>2</w:t>
      </w:r>
      <w:r>
        <w:fldChar w:fldCharType="end"/>
      </w:r>
      <w:bookmarkEnd w:id="40"/>
      <w:r>
        <w:t>: Conceptual approach and boundaries for cost-benefit analysis</w:t>
      </w:r>
      <w:bookmarkEnd w:id="41"/>
      <w:bookmarkEnd w:id="42"/>
    </w:p>
    <w:p w:rsidR="00000000" w:rsidRDefault="00D35856">
      <w:pPr>
        <w:keepNext w:val="0"/>
        <w:widowControl w:val="0"/>
      </w:pPr>
      <w:r>
        <w:rPr>
          <w:noProof/>
          <w:lang w:eastAsia="en-AU"/>
        </w:rPr>
        <w:drawing>
          <wp:inline distT="0" distB="0" distL="0" distR="0">
            <wp:extent cx="5242560" cy="5074920"/>
            <wp:effectExtent l="19050" t="0" r="0" b="0"/>
            <wp:docPr id="7" name="Picture 7" descr="Fig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2-2"/>
                    <pic:cNvPicPr>
                      <a:picLocks noChangeAspect="1" noChangeArrowheads="1"/>
                    </pic:cNvPicPr>
                  </pic:nvPicPr>
                  <pic:blipFill>
                    <a:blip r:embed="rId20"/>
                    <a:srcRect/>
                    <a:stretch>
                      <a:fillRect/>
                    </a:stretch>
                  </pic:blipFill>
                  <pic:spPr bwMode="auto">
                    <a:xfrm>
                      <a:off x="0" y="0"/>
                      <a:ext cx="5242560" cy="5074920"/>
                    </a:xfrm>
                    <a:prstGeom prst="rect">
                      <a:avLst/>
                    </a:prstGeom>
                    <a:noFill/>
                    <a:ln w="9525">
                      <a:noFill/>
                      <a:miter lim="800000"/>
                      <a:headEnd/>
                      <a:tailEnd/>
                    </a:ln>
                  </pic:spPr>
                </pic:pic>
              </a:graphicData>
            </a:graphic>
          </wp:inline>
        </w:drawing>
      </w:r>
    </w:p>
    <w:p w:rsidR="00000000" w:rsidRDefault="00D35856">
      <w:pPr>
        <w:keepNext w:val="0"/>
        <w:widowControl w:val="0"/>
      </w:pPr>
      <w:r>
        <w:t>The key stakeholders</w:t>
      </w:r>
      <w:r>
        <w:t xml:space="preserve"> affected by </w:t>
      </w:r>
      <w:smartTag w:uri="urn:schemas-microsoft-com:office:smarttags" w:element="City">
        <w:r>
          <w:t>WELS</w:t>
        </w:r>
      </w:smartTag>
      <w:r>
        <w:t xml:space="preserve">, and the nature of costs and benefits, are listed in </w:t>
      </w:r>
      <w:fldSimple w:instr=" REF _Ref188067903 \h  \* MERGEFORMAT ">
        <w:r>
          <w:t xml:space="preserve">Table </w:t>
        </w:r>
        <w:r>
          <w:rPr>
            <w:noProof/>
          </w:rPr>
          <w:t>2</w:t>
        </w:r>
        <w:r>
          <w:rPr>
            <w:noProof/>
          </w:rPr>
          <w:noBreakHyphen/>
          <w:t>3</w:t>
        </w:r>
      </w:fldSimple>
      <w:r>
        <w:t xml:space="preserve">. </w:t>
      </w:r>
    </w:p>
    <w:p w:rsidR="00000000" w:rsidRDefault="00D35856">
      <w:pPr>
        <w:keepNext w:val="0"/>
        <w:widowControl w:val="0"/>
      </w:pPr>
    </w:p>
    <w:p w:rsidR="00000000" w:rsidRDefault="00D35856">
      <w:pPr>
        <w:pStyle w:val="Caption"/>
        <w:keepNext w:val="0"/>
        <w:pageBreakBefore/>
      </w:pPr>
      <w:bookmarkStart w:id="43" w:name="_Ref188067903"/>
      <w:bookmarkStart w:id="44" w:name="_Toc199933784"/>
      <w:r>
        <w:lastRenderedPageBreak/>
        <w:t xml:space="preserve">Table </w:t>
      </w:r>
      <w:r>
        <w:fldChar w:fldCharType="begin"/>
      </w:r>
      <w:r>
        <w:instrText xml:space="preserve"> STYLEREF 1 \s </w:instrText>
      </w:r>
      <w:r>
        <w:fldChar w:fldCharType="separate"/>
      </w:r>
      <w:r>
        <w:rPr>
          <w:noProof/>
        </w:rPr>
        <w:t>2</w:t>
      </w:r>
      <w:r>
        <w:fldChar w:fldCharType="end"/>
      </w:r>
      <w:r>
        <w:noBreakHyphen/>
      </w:r>
      <w:r>
        <w:fldChar w:fldCharType="begin"/>
      </w:r>
      <w:r>
        <w:instrText xml:space="preserve"> SEQ T</w:instrText>
      </w:r>
      <w:r>
        <w:instrText xml:space="preserve">able \* ARABIC \s 1 </w:instrText>
      </w:r>
      <w:r>
        <w:fldChar w:fldCharType="separate"/>
      </w:r>
      <w:r>
        <w:rPr>
          <w:noProof/>
        </w:rPr>
        <w:t>3</w:t>
      </w:r>
      <w:r>
        <w:fldChar w:fldCharType="end"/>
      </w:r>
      <w:bookmarkEnd w:id="43"/>
      <w:r>
        <w:t>: Costs and benefits affecting key stakeholders</w:t>
      </w:r>
      <w:bookmarkEnd w:id="44"/>
    </w:p>
    <w:tbl>
      <w:tblPr>
        <w:tblStyle w:val="TableGrid"/>
        <w:tblW w:w="0" w:type="auto"/>
        <w:tblBorders>
          <w:insideV w:val="none" w:sz="0" w:space="0" w:color="auto"/>
        </w:tblBorders>
        <w:tblLook w:val="00BF"/>
      </w:tblPr>
      <w:tblGrid>
        <w:gridCol w:w="1594"/>
        <w:gridCol w:w="2517"/>
        <w:gridCol w:w="4361"/>
      </w:tblGrid>
      <w:tr w:rsidR="00000000">
        <w:tc>
          <w:tcPr>
            <w:tcW w:w="1594" w:type="dxa"/>
            <w:shd w:val="clear" w:color="auto" w:fill="C0C0C0"/>
          </w:tcPr>
          <w:p w:rsidR="00000000" w:rsidRDefault="00D35856">
            <w:pPr>
              <w:keepNext w:val="0"/>
              <w:spacing w:after="0"/>
              <w:rPr>
                <w:b/>
              </w:rPr>
            </w:pPr>
            <w:r>
              <w:rPr>
                <w:rFonts w:ascii="Arial" w:hAnsi="Arial"/>
                <w:b/>
              </w:rPr>
              <w:t>Stakeholder</w:t>
            </w:r>
          </w:p>
        </w:tc>
        <w:tc>
          <w:tcPr>
            <w:tcW w:w="2517" w:type="dxa"/>
            <w:shd w:val="clear" w:color="auto" w:fill="C0C0C0"/>
          </w:tcPr>
          <w:p w:rsidR="00000000" w:rsidRDefault="00D35856">
            <w:pPr>
              <w:keepNext w:val="0"/>
              <w:spacing w:after="0"/>
              <w:rPr>
                <w:b/>
              </w:rPr>
            </w:pPr>
            <w:r>
              <w:rPr>
                <w:rFonts w:ascii="Arial" w:hAnsi="Arial"/>
                <w:b/>
              </w:rPr>
              <w:t>Cost or benefit</w:t>
            </w:r>
          </w:p>
        </w:tc>
        <w:tc>
          <w:tcPr>
            <w:tcW w:w="4361" w:type="dxa"/>
            <w:shd w:val="clear" w:color="auto" w:fill="C0C0C0"/>
          </w:tcPr>
          <w:p w:rsidR="00000000" w:rsidRDefault="00D35856">
            <w:pPr>
              <w:keepNext w:val="0"/>
              <w:spacing w:after="0"/>
              <w:rPr>
                <w:b/>
              </w:rPr>
            </w:pPr>
            <w:r>
              <w:rPr>
                <w:rFonts w:ascii="Arial" w:hAnsi="Arial"/>
                <w:b/>
              </w:rPr>
              <w:t>Description</w:t>
            </w:r>
          </w:p>
        </w:tc>
      </w:tr>
      <w:tr w:rsidR="00000000">
        <w:tc>
          <w:tcPr>
            <w:tcW w:w="1594" w:type="dxa"/>
            <w:tcBorders>
              <w:bottom w:val="nil"/>
            </w:tcBorders>
          </w:tcPr>
          <w:p w:rsidR="00000000" w:rsidRDefault="00D35856">
            <w:pPr>
              <w:keepNext w:val="0"/>
              <w:spacing w:after="0"/>
            </w:pPr>
            <w:r>
              <w:rPr>
                <w:noProof/>
                <w:lang w:eastAsia="en-AU"/>
              </w:rPr>
              <w:pict>
                <v:group id="_x0000_s1066" style="position:absolute;left:0;text-align:left;margin-left:34.25pt;margin-top:1.3pt;width:34.4pt;height:351.45pt;z-index:251658240;mso-position-horizontal-relative:text;mso-position-vertical-relative:text" coordorigin="2386,2012" coordsize="688,7029">
                  <v:roundrect id="_x0000_s1067" style="position:absolute;left:2604;top:2012;width:240;height:847;mso-wrap-edited:f" arcsize="10923f" wrapcoords="1575 0 225 1080 -225 2520 -225 18720 900 21600 1350 21600 20250 21600 20700 21600 21825 18720 21825 2520 21375 1080 20025 0 1575 0" o:regroupid="1" fillcolor="red">
                    <v:fill opacity="19661f"/>
                  </v:roundrect>
                  <v:roundrect id="_x0000_s1068" style="position:absolute;left:2667;top:2632;width:240;height:3309;mso-wrap-edited:f" arcsize="10923f" wrapcoords="1575 0 225 1080 -225 2520 -225 18720 900 21600 1350 21600 20250 21600 20700 21600 21825 18720 21825 2520 21375 1080 20025 0 1575 0" o:regroupid="1" fillcolor="#fc0">
                    <v:fill opacity="19661f"/>
                  </v:roundrect>
                  <v:roundrect id="_x0000_s1069" style="position:absolute;left:2784;top:6654;width:250;height:1766;mso-wrap-edited:f" arcsize="10923f" wrapcoords="1575 0 225 1080 -225 2520 -225 18720 900 21600 1350 21600 20250 21600 20700 21600 21825 18720 21825 2520 21375 1080 20025 0 1575 0" o:regroupid="1" fillcolor="#9cf">
                    <v:fill opacity="19661f"/>
                  </v:roundrect>
                  <v:roundrect id="_x0000_s1070" style="position:absolute;left:2834;top:7998;width:240;height:1043;mso-wrap-edited:f" arcsize="10923f" wrapcoords="1575 0 225 1080 -225 2520 -225 18720 900 21600 1350 21600 20250 21600 20700 21600 21825 18720 21825 2520 21375 1080 20025 0 1575 0" o:regroupid="1" fillcolor="#c9f">
                    <v:fill opacity="19661f"/>
                  </v:roundrect>
                  <v:line id="_x0000_s1071" style="position:absolute" from="2457,2122" to="2667,2122" o:regroupid="1"/>
                  <v:line id="_x0000_s1072" style="position:absolute" from="2514,3034" to="2730,3034" o:regroupid="1"/>
                  <v:roundrect id="_x0000_s1073" style="position:absolute;left:2742;top:5327;width:240;height:2195;mso-wrap-edited:f" arcsize="10923f" wrapcoords="1575 0 225 1080 -225 2520 -225 18720 900 21600 1350 21600 20250 21600 20700 21600 21825 18720 21825 2520 21375 1080 20025 0 1575 0" o:regroupid="1" fillcolor="lime">
                    <v:fill opacity="19661f"/>
                  </v:roundrect>
                  <v:line id="_x0000_s1074" style="position:absolute" from="2514,6055" to="2844,6055" o:regroupid="1"/>
                  <v:line id="_x0000_s1075" style="position:absolute" from="2386,8217" to="2968,8217" o:regroupid="1"/>
                  <v:line id="_x0000_s1076" style="position:absolute" from="2534,6869" to="2762,6892" o:regroupid="1"/>
                </v:group>
              </w:pict>
            </w:r>
            <w:r>
              <w:rPr>
                <w:rFonts w:ascii="Arial" w:hAnsi="Arial"/>
              </w:rPr>
              <w:t>DEWHA</w:t>
            </w:r>
          </w:p>
          <w:p w:rsidR="00000000" w:rsidRDefault="00D35856">
            <w:pPr>
              <w:keepNext w:val="0"/>
              <w:jc w:val="center"/>
            </w:pPr>
          </w:p>
        </w:tc>
        <w:tc>
          <w:tcPr>
            <w:tcW w:w="2517" w:type="dxa"/>
          </w:tcPr>
          <w:p w:rsidR="00000000" w:rsidRDefault="00D35856">
            <w:pPr>
              <w:keepNext w:val="0"/>
              <w:spacing w:after="0"/>
            </w:pPr>
            <w:smartTag w:uri="urn:schemas-microsoft-com:office:smarttags" w:element="City">
              <w:r>
                <w:rPr>
                  <w:rFonts w:ascii="Arial" w:hAnsi="Arial"/>
                </w:rPr>
                <w:t>WELS</w:t>
              </w:r>
            </w:smartTag>
            <w:r>
              <w:rPr>
                <w:rFonts w:ascii="Arial" w:hAnsi="Arial"/>
              </w:rPr>
              <w:t xml:space="preserve"> administration costs</w:t>
            </w:r>
          </w:p>
        </w:tc>
        <w:tc>
          <w:tcPr>
            <w:tcW w:w="4361" w:type="dxa"/>
          </w:tcPr>
          <w:p w:rsidR="00000000" w:rsidRDefault="00D35856">
            <w:pPr>
              <w:keepNext w:val="0"/>
              <w:spacing w:after="0"/>
            </w:pPr>
            <w:r>
              <w:rPr>
                <w:rFonts w:ascii="Arial" w:hAnsi="Arial"/>
              </w:rPr>
              <w:t xml:space="preserve">Costs include promotion, enforcement activities, database administration, staffing and overheads (see chapter </w:t>
            </w:r>
            <w:fldSimple w:instr=" REF _Ref191422551 \r \h  \* MERGEFORMAT ">
              <w:r>
                <w:rPr>
                  <w:rFonts w:ascii="Arial" w:hAnsi="Arial"/>
                </w:rPr>
                <w:t>4</w:t>
              </w:r>
            </w:fldSimple>
            <w:r>
              <w:rPr>
                <w:rFonts w:ascii="Arial" w:hAnsi="Arial"/>
              </w:rPr>
              <w:t xml:space="preserve"> for full list). </w:t>
            </w:r>
          </w:p>
        </w:tc>
      </w:tr>
      <w:tr w:rsidR="00000000">
        <w:tc>
          <w:tcPr>
            <w:tcW w:w="1594" w:type="dxa"/>
            <w:tcBorders>
              <w:top w:val="nil"/>
              <w:bottom w:val="nil"/>
            </w:tcBorders>
          </w:tcPr>
          <w:p w:rsidR="00000000" w:rsidRDefault="00D35856">
            <w:pPr>
              <w:keepNext w:val="0"/>
              <w:spacing w:after="0"/>
            </w:pPr>
          </w:p>
        </w:tc>
        <w:tc>
          <w:tcPr>
            <w:tcW w:w="2517" w:type="dxa"/>
          </w:tcPr>
          <w:p w:rsidR="00000000" w:rsidRDefault="00D35856">
            <w:pPr>
              <w:keepNext w:val="0"/>
              <w:spacing w:after="0"/>
            </w:pPr>
            <w:smartTag w:uri="urn:schemas-microsoft-com:office:smarttags" w:element="City">
              <w:r>
                <w:rPr>
                  <w:rFonts w:ascii="Arial" w:hAnsi="Arial"/>
                </w:rPr>
                <w:t>WELS</w:t>
              </w:r>
            </w:smartTag>
            <w:r>
              <w:rPr>
                <w:rFonts w:ascii="Arial" w:hAnsi="Arial"/>
              </w:rPr>
              <w:t xml:space="preserve"> registration fees</w:t>
            </w:r>
          </w:p>
        </w:tc>
        <w:tc>
          <w:tcPr>
            <w:tcW w:w="4361" w:type="dxa"/>
          </w:tcPr>
          <w:p w:rsidR="00000000" w:rsidRDefault="00D35856">
            <w:pPr>
              <w:keepNext w:val="0"/>
              <w:spacing w:after="0"/>
            </w:pPr>
            <w:r>
              <w:rPr>
                <w:rFonts w:ascii="Arial" w:hAnsi="Arial"/>
              </w:rPr>
              <w:t xml:space="preserve">$1500 per model or family of models registered. </w:t>
            </w:r>
          </w:p>
        </w:tc>
      </w:tr>
      <w:tr w:rsidR="00000000">
        <w:tc>
          <w:tcPr>
            <w:tcW w:w="1594" w:type="dxa"/>
            <w:tcBorders>
              <w:top w:val="nil"/>
              <w:bottom w:val="nil"/>
            </w:tcBorders>
          </w:tcPr>
          <w:p w:rsidR="00000000" w:rsidRDefault="00D35856">
            <w:pPr>
              <w:keepNext w:val="0"/>
              <w:spacing w:after="0"/>
            </w:pPr>
            <w:r>
              <w:rPr>
                <w:rFonts w:ascii="Arial" w:hAnsi="Arial"/>
              </w:rPr>
              <w:t>Suppliers</w:t>
            </w:r>
          </w:p>
        </w:tc>
        <w:tc>
          <w:tcPr>
            <w:tcW w:w="2517" w:type="dxa"/>
          </w:tcPr>
          <w:p w:rsidR="00000000" w:rsidRDefault="00D35856">
            <w:pPr>
              <w:keepNext w:val="0"/>
              <w:spacing w:after="0"/>
            </w:pPr>
            <w:r>
              <w:rPr>
                <w:rFonts w:ascii="Arial" w:hAnsi="Arial"/>
              </w:rPr>
              <w:t>Other registration costs</w:t>
            </w:r>
          </w:p>
        </w:tc>
        <w:tc>
          <w:tcPr>
            <w:tcW w:w="4361" w:type="dxa"/>
          </w:tcPr>
          <w:p w:rsidR="00000000" w:rsidRDefault="00D35856">
            <w:pPr>
              <w:keepNext w:val="0"/>
              <w:spacing w:after="0"/>
            </w:pPr>
            <w:r>
              <w:rPr>
                <w:rFonts w:ascii="Arial" w:hAnsi="Arial"/>
              </w:rPr>
              <w:t>Staffing requirements to undertake registration process, including preparing documentation.</w:t>
            </w:r>
          </w:p>
        </w:tc>
      </w:tr>
      <w:tr w:rsidR="00000000">
        <w:tc>
          <w:tcPr>
            <w:tcW w:w="1594" w:type="dxa"/>
            <w:tcBorders>
              <w:top w:val="nil"/>
              <w:bottom w:val="nil"/>
            </w:tcBorders>
          </w:tcPr>
          <w:p w:rsidR="00000000" w:rsidRDefault="00D35856">
            <w:pPr>
              <w:keepNext w:val="0"/>
              <w:spacing w:after="0"/>
            </w:pPr>
          </w:p>
          <w:p w:rsidR="00000000" w:rsidRDefault="00D35856">
            <w:pPr>
              <w:keepNext w:val="0"/>
              <w:tabs>
                <w:tab w:val="left" w:pos="1040"/>
                <w:tab w:val="left" w:pos="1210"/>
              </w:tabs>
            </w:pPr>
            <w:r>
              <w:tab/>
            </w:r>
            <w:r>
              <w:tab/>
            </w:r>
          </w:p>
        </w:tc>
        <w:tc>
          <w:tcPr>
            <w:tcW w:w="2517" w:type="dxa"/>
          </w:tcPr>
          <w:p w:rsidR="00000000" w:rsidRDefault="00D35856">
            <w:pPr>
              <w:keepNext w:val="0"/>
              <w:spacing w:after="0"/>
            </w:pPr>
            <w:r>
              <w:rPr>
                <w:rFonts w:ascii="Arial" w:hAnsi="Arial"/>
              </w:rPr>
              <w:t>Additional labelling costs</w:t>
            </w:r>
          </w:p>
        </w:tc>
        <w:tc>
          <w:tcPr>
            <w:tcW w:w="4361" w:type="dxa"/>
          </w:tcPr>
          <w:p w:rsidR="00000000" w:rsidRDefault="00D35856">
            <w:pPr>
              <w:keepNext w:val="0"/>
              <w:spacing w:after="0"/>
            </w:pPr>
            <w:r>
              <w:rPr>
                <w:rFonts w:ascii="Arial" w:hAnsi="Arial"/>
              </w:rPr>
              <w:t xml:space="preserve">Printing and affixing labels. Costs are those incurred </w:t>
            </w:r>
            <w:r>
              <w:rPr>
                <w:rFonts w:ascii="Arial" w:hAnsi="Arial"/>
                <w:i/>
              </w:rPr>
              <w:t xml:space="preserve">in addition </w:t>
            </w:r>
            <w:r>
              <w:rPr>
                <w:rFonts w:ascii="Arial" w:hAnsi="Arial"/>
              </w:rPr>
              <w:t>to those associated with labelling under other schemes (eg. energy labelling).</w:t>
            </w:r>
          </w:p>
        </w:tc>
      </w:tr>
      <w:tr w:rsidR="00000000">
        <w:tc>
          <w:tcPr>
            <w:tcW w:w="1594" w:type="dxa"/>
            <w:tcBorders>
              <w:top w:val="nil"/>
              <w:bottom w:val="nil"/>
            </w:tcBorders>
          </w:tcPr>
          <w:p w:rsidR="00000000" w:rsidRDefault="00D35856">
            <w:pPr>
              <w:keepNext w:val="0"/>
              <w:spacing w:after="0"/>
            </w:pPr>
          </w:p>
        </w:tc>
        <w:tc>
          <w:tcPr>
            <w:tcW w:w="2517" w:type="dxa"/>
          </w:tcPr>
          <w:p w:rsidR="00000000" w:rsidRDefault="00D35856">
            <w:pPr>
              <w:keepNext w:val="0"/>
              <w:spacing w:after="0"/>
            </w:pPr>
            <w:r>
              <w:rPr>
                <w:rFonts w:ascii="Arial" w:hAnsi="Arial"/>
              </w:rPr>
              <w:t>Additional testing costs</w:t>
            </w:r>
          </w:p>
        </w:tc>
        <w:tc>
          <w:tcPr>
            <w:tcW w:w="4361" w:type="dxa"/>
          </w:tcPr>
          <w:p w:rsidR="00000000" w:rsidRDefault="00D35856">
            <w:pPr>
              <w:keepNext w:val="0"/>
              <w:spacing w:after="0"/>
              <w:rPr>
                <w:rFonts w:ascii="Arial" w:hAnsi="Arial"/>
              </w:rPr>
            </w:pPr>
            <w:r>
              <w:rPr>
                <w:rFonts w:ascii="Arial" w:hAnsi="Arial"/>
              </w:rPr>
              <w:t>Accredited testing for water-efficiency rating.</w:t>
            </w:r>
          </w:p>
          <w:p w:rsidR="00000000" w:rsidRDefault="00D35856">
            <w:pPr>
              <w:keepNext w:val="0"/>
              <w:spacing w:after="0"/>
            </w:pPr>
            <w:r>
              <w:rPr>
                <w:rFonts w:ascii="Arial" w:hAnsi="Arial"/>
              </w:rPr>
              <w:t xml:space="preserve">Costs are those incurred </w:t>
            </w:r>
            <w:r>
              <w:rPr>
                <w:rFonts w:ascii="Arial" w:hAnsi="Arial"/>
                <w:i/>
              </w:rPr>
              <w:t>in additio</w:t>
            </w:r>
            <w:r>
              <w:rPr>
                <w:rFonts w:ascii="Arial" w:hAnsi="Arial"/>
                <w:i/>
              </w:rPr>
              <w:t>n</w:t>
            </w:r>
            <w:r>
              <w:rPr>
                <w:rFonts w:ascii="Arial" w:hAnsi="Arial"/>
              </w:rPr>
              <w:t xml:space="preserve"> to those associated with other procedures, (eg. testing for product development or testing to meet requirements of other standards).</w:t>
            </w:r>
          </w:p>
        </w:tc>
      </w:tr>
      <w:tr w:rsidR="00000000">
        <w:tc>
          <w:tcPr>
            <w:tcW w:w="1594" w:type="dxa"/>
            <w:tcBorders>
              <w:top w:val="nil"/>
              <w:bottom w:val="nil"/>
            </w:tcBorders>
          </w:tcPr>
          <w:p w:rsidR="00000000" w:rsidRDefault="00D35856">
            <w:pPr>
              <w:keepNext w:val="0"/>
              <w:spacing w:after="0"/>
            </w:pPr>
          </w:p>
        </w:tc>
        <w:tc>
          <w:tcPr>
            <w:tcW w:w="2517" w:type="dxa"/>
          </w:tcPr>
          <w:p w:rsidR="00000000" w:rsidRDefault="00D35856">
            <w:pPr>
              <w:keepNext w:val="0"/>
              <w:spacing w:after="0"/>
              <w:rPr>
                <w:rFonts w:ascii="Arial" w:hAnsi="Arial"/>
              </w:rPr>
            </w:pPr>
            <w:r>
              <w:rPr>
                <w:rFonts w:ascii="Arial" w:hAnsi="Arial"/>
              </w:rPr>
              <w:t>Change in cost of products sold from suppliers to retailers</w:t>
            </w:r>
          </w:p>
        </w:tc>
        <w:tc>
          <w:tcPr>
            <w:tcW w:w="4361" w:type="dxa"/>
          </w:tcPr>
          <w:p w:rsidR="00000000" w:rsidRDefault="00D35856">
            <w:pPr>
              <w:keepNext w:val="0"/>
              <w:spacing w:after="0"/>
              <w:rPr>
                <w:rFonts w:ascii="Arial" w:hAnsi="Arial"/>
              </w:rPr>
            </w:pPr>
            <w:r>
              <w:rPr>
                <w:rFonts w:ascii="Arial" w:hAnsi="Arial"/>
              </w:rPr>
              <w:t>Due to any price premium for higher water-efficiency products.</w:t>
            </w:r>
          </w:p>
        </w:tc>
      </w:tr>
      <w:tr w:rsidR="00000000">
        <w:tc>
          <w:tcPr>
            <w:tcW w:w="1594" w:type="dxa"/>
            <w:tcBorders>
              <w:top w:val="nil"/>
              <w:bottom w:val="nil"/>
            </w:tcBorders>
          </w:tcPr>
          <w:p w:rsidR="00000000" w:rsidRDefault="00D35856">
            <w:pPr>
              <w:keepNext w:val="0"/>
              <w:tabs>
                <w:tab w:val="left" w:pos="1220"/>
              </w:tabs>
              <w:spacing w:after="0"/>
              <w:rPr>
                <w:rFonts w:ascii="Arial" w:hAnsi="Arial"/>
              </w:rPr>
            </w:pPr>
            <w:r>
              <w:rPr>
                <w:rFonts w:ascii="Arial" w:hAnsi="Arial"/>
              </w:rPr>
              <w:t>Retailers</w:t>
            </w:r>
            <w:r>
              <w:rPr>
                <w:rFonts w:ascii="Arial" w:hAnsi="Arial"/>
              </w:rPr>
              <w:tab/>
            </w:r>
          </w:p>
          <w:p w:rsidR="00000000" w:rsidRDefault="00D35856">
            <w:pPr>
              <w:keepNext w:val="0"/>
              <w:tabs>
                <w:tab w:val="left" w:pos="1160"/>
              </w:tabs>
              <w:spacing w:after="0"/>
            </w:pPr>
            <w:r>
              <w:tab/>
            </w:r>
          </w:p>
        </w:tc>
        <w:tc>
          <w:tcPr>
            <w:tcW w:w="2517" w:type="dxa"/>
          </w:tcPr>
          <w:p w:rsidR="00000000" w:rsidRDefault="00D35856">
            <w:pPr>
              <w:keepNext w:val="0"/>
              <w:spacing w:after="0"/>
              <w:rPr>
                <w:rFonts w:ascii="Arial" w:hAnsi="Arial"/>
              </w:rPr>
            </w:pPr>
            <w:r>
              <w:rPr>
                <w:rFonts w:ascii="Arial" w:hAnsi="Arial"/>
              </w:rPr>
              <w:t>Additional retailers’ costs</w:t>
            </w:r>
          </w:p>
        </w:tc>
        <w:tc>
          <w:tcPr>
            <w:tcW w:w="4361" w:type="dxa"/>
          </w:tcPr>
          <w:p w:rsidR="00000000" w:rsidRDefault="00D35856">
            <w:pPr>
              <w:keepNext w:val="0"/>
              <w:spacing w:after="0"/>
              <w:rPr>
                <w:rFonts w:ascii="Arial" w:hAnsi="Arial"/>
              </w:rPr>
            </w:pPr>
            <w:r>
              <w:rPr>
                <w:rFonts w:ascii="Arial" w:hAnsi="Arial"/>
              </w:rPr>
              <w:t>Staffing requirements to check labels, train staff.</w:t>
            </w:r>
          </w:p>
          <w:p w:rsidR="00000000" w:rsidRDefault="00D35856">
            <w:pPr>
              <w:keepNext w:val="0"/>
              <w:spacing w:after="0"/>
              <w:rPr>
                <w:rFonts w:ascii="Arial" w:hAnsi="Arial"/>
              </w:rPr>
            </w:pPr>
            <w:r>
              <w:rPr>
                <w:rFonts w:ascii="Arial" w:hAnsi="Arial"/>
              </w:rPr>
              <w:t>Transition between unlabelled and labelled stock.</w:t>
            </w:r>
          </w:p>
        </w:tc>
      </w:tr>
      <w:tr w:rsidR="00000000">
        <w:tc>
          <w:tcPr>
            <w:tcW w:w="1594" w:type="dxa"/>
            <w:tcBorders>
              <w:top w:val="nil"/>
              <w:bottom w:val="nil"/>
            </w:tcBorders>
          </w:tcPr>
          <w:p w:rsidR="00000000" w:rsidRDefault="00D35856">
            <w:pPr>
              <w:keepNext w:val="0"/>
              <w:spacing w:after="0"/>
            </w:pPr>
            <w:r>
              <w:rPr>
                <w:rFonts w:ascii="Arial" w:hAnsi="Arial"/>
              </w:rPr>
              <w:t>End-use customers</w:t>
            </w:r>
          </w:p>
        </w:tc>
        <w:tc>
          <w:tcPr>
            <w:tcW w:w="2517" w:type="dxa"/>
          </w:tcPr>
          <w:p w:rsidR="00000000" w:rsidRDefault="00D35856">
            <w:pPr>
              <w:keepNext w:val="0"/>
              <w:spacing w:after="0"/>
              <w:rPr>
                <w:rFonts w:ascii="Arial" w:hAnsi="Arial"/>
              </w:rPr>
            </w:pPr>
            <w:r>
              <w:rPr>
                <w:rFonts w:ascii="Arial" w:hAnsi="Arial"/>
              </w:rPr>
              <w:t>Change in product cost sold fr</w:t>
            </w:r>
            <w:r>
              <w:rPr>
                <w:rFonts w:ascii="Arial" w:hAnsi="Arial"/>
              </w:rPr>
              <w:t>om retailers to end-users (possibly through installers)</w:t>
            </w:r>
          </w:p>
        </w:tc>
        <w:tc>
          <w:tcPr>
            <w:tcW w:w="4361" w:type="dxa"/>
          </w:tcPr>
          <w:p w:rsidR="00000000" w:rsidRDefault="00D35856">
            <w:pPr>
              <w:keepNext w:val="0"/>
              <w:spacing w:after="0"/>
              <w:rPr>
                <w:rFonts w:ascii="Arial" w:hAnsi="Arial"/>
              </w:rPr>
            </w:pPr>
            <w:r>
              <w:rPr>
                <w:rFonts w:ascii="Arial" w:hAnsi="Arial"/>
              </w:rPr>
              <w:t>Due to any price premium for higher water-efficiency products.</w:t>
            </w:r>
          </w:p>
        </w:tc>
      </w:tr>
      <w:tr w:rsidR="00000000">
        <w:tc>
          <w:tcPr>
            <w:tcW w:w="1594" w:type="dxa"/>
            <w:tcBorders>
              <w:top w:val="nil"/>
              <w:bottom w:val="nil"/>
            </w:tcBorders>
          </w:tcPr>
          <w:p w:rsidR="00000000" w:rsidRDefault="00D35856">
            <w:pPr>
              <w:keepNext w:val="0"/>
              <w:spacing w:after="0"/>
              <w:rPr>
                <w:rFonts w:ascii="Arial" w:hAnsi="Arial"/>
              </w:rPr>
            </w:pPr>
          </w:p>
        </w:tc>
        <w:tc>
          <w:tcPr>
            <w:tcW w:w="2517" w:type="dxa"/>
          </w:tcPr>
          <w:p w:rsidR="00000000" w:rsidRDefault="00D35856">
            <w:pPr>
              <w:keepNext w:val="0"/>
              <w:spacing w:after="0"/>
              <w:rPr>
                <w:rFonts w:ascii="Arial" w:hAnsi="Arial"/>
              </w:rPr>
            </w:pPr>
            <w:r>
              <w:rPr>
                <w:rFonts w:ascii="Arial" w:hAnsi="Arial"/>
              </w:rPr>
              <w:t>Change in energy bills</w:t>
            </w:r>
          </w:p>
        </w:tc>
        <w:tc>
          <w:tcPr>
            <w:tcW w:w="4361" w:type="dxa"/>
          </w:tcPr>
          <w:p w:rsidR="00000000" w:rsidRDefault="00D35856">
            <w:pPr>
              <w:keepNext w:val="0"/>
              <w:spacing w:after="0"/>
              <w:rPr>
                <w:rFonts w:ascii="Arial" w:hAnsi="Arial"/>
              </w:rPr>
            </w:pPr>
            <w:r>
              <w:rPr>
                <w:rFonts w:ascii="Arial" w:hAnsi="Arial"/>
              </w:rPr>
              <w:t>Due to reduced water heating required (energy bills).</w:t>
            </w:r>
          </w:p>
        </w:tc>
      </w:tr>
      <w:tr w:rsidR="00000000">
        <w:tc>
          <w:tcPr>
            <w:tcW w:w="1594" w:type="dxa"/>
            <w:tcBorders>
              <w:top w:val="nil"/>
              <w:bottom w:val="nil"/>
            </w:tcBorders>
          </w:tcPr>
          <w:p w:rsidR="00000000" w:rsidRDefault="00D35856">
            <w:pPr>
              <w:keepNext w:val="0"/>
              <w:spacing w:after="0"/>
              <w:rPr>
                <w:rFonts w:ascii="Arial" w:hAnsi="Arial"/>
              </w:rPr>
            </w:pPr>
            <w:r>
              <w:rPr>
                <w:rFonts w:ascii="Arial" w:hAnsi="Arial"/>
              </w:rPr>
              <w:t xml:space="preserve">Water </w:t>
            </w:r>
          </w:p>
          <w:p w:rsidR="00000000" w:rsidRDefault="00D35856">
            <w:pPr>
              <w:keepNext w:val="0"/>
              <w:spacing w:after="0"/>
              <w:rPr>
                <w:rFonts w:ascii="Arial" w:hAnsi="Arial"/>
              </w:rPr>
            </w:pPr>
            <w:r>
              <w:rPr>
                <w:rFonts w:ascii="Arial" w:hAnsi="Arial"/>
              </w:rPr>
              <w:t>utilities</w:t>
            </w:r>
          </w:p>
        </w:tc>
        <w:tc>
          <w:tcPr>
            <w:tcW w:w="2517" w:type="dxa"/>
          </w:tcPr>
          <w:p w:rsidR="00000000" w:rsidRDefault="00D35856">
            <w:pPr>
              <w:keepNext w:val="0"/>
              <w:spacing w:after="0"/>
              <w:rPr>
                <w:rFonts w:ascii="Arial" w:hAnsi="Arial"/>
              </w:rPr>
            </w:pPr>
            <w:r>
              <w:rPr>
                <w:rFonts w:ascii="Arial" w:hAnsi="Arial"/>
              </w:rPr>
              <w:t>Change in water bills/revenue</w:t>
            </w:r>
          </w:p>
        </w:tc>
        <w:tc>
          <w:tcPr>
            <w:tcW w:w="4361" w:type="dxa"/>
          </w:tcPr>
          <w:p w:rsidR="00000000" w:rsidRDefault="00D35856">
            <w:pPr>
              <w:keepNext w:val="0"/>
              <w:spacing w:after="0"/>
              <w:rPr>
                <w:rFonts w:ascii="Arial" w:hAnsi="Arial"/>
              </w:rPr>
            </w:pPr>
            <w:r>
              <w:rPr>
                <w:rFonts w:ascii="Arial" w:hAnsi="Arial"/>
              </w:rPr>
              <w:t xml:space="preserve">Due to reduced water consumption (water bills). </w:t>
            </w:r>
          </w:p>
        </w:tc>
      </w:tr>
      <w:tr w:rsidR="00000000">
        <w:tc>
          <w:tcPr>
            <w:tcW w:w="1594" w:type="dxa"/>
            <w:tcBorders>
              <w:top w:val="nil"/>
            </w:tcBorders>
          </w:tcPr>
          <w:p w:rsidR="00000000" w:rsidRDefault="00D35856">
            <w:pPr>
              <w:keepNext w:val="0"/>
              <w:spacing w:after="0"/>
              <w:rPr>
                <w:rFonts w:ascii="Arial" w:hAnsi="Arial"/>
              </w:rPr>
            </w:pPr>
          </w:p>
        </w:tc>
        <w:tc>
          <w:tcPr>
            <w:tcW w:w="2517" w:type="dxa"/>
          </w:tcPr>
          <w:p w:rsidR="00000000" w:rsidRDefault="00D35856">
            <w:pPr>
              <w:keepNext w:val="0"/>
              <w:spacing w:after="0"/>
              <w:rPr>
                <w:rFonts w:ascii="Arial" w:hAnsi="Arial"/>
              </w:rPr>
            </w:pPr>
            <w:r>
              <w:rPr>
                <w:rFonts w:ascii="Arial" w:hAnsi="Arial"/>
              </w:rPr>
              <w:t>Change in operating costs (analysis limited to energy costs)</w:t>
            </w:r>
          </w:p>
        </w:tc>
        <w:tc>
          <w:tcPr>
            <w:tcW w:w="4361" w:type="dxa"/>
          </w:tcPr>
          <w:p w:rsidR="00000000" w:rsidRDefault="00D35856">
            <w:pPr>
              <w:keepNext w:val="0"/>
              <w:spacing w:after="0"/>
              <w:rPr>
                <w:rFonts w:ascii="Arial" w:hAnsi="Arial"/>
              </w:rPr>
            </w:pPr>
            <w:r>
              <w:rPr>
                <w:rFonts w:ascii="Arial" w:hAnsi="Arial"/>
              </w:rPr>
              <w:t>Due to reduced pumping for water supply and sewage treatment.</w:t>
            </w:r>
          </w:p>
        </w:tc>
      </w:tr>
      <w:tr w:rsidR="00000000">
        <w:tc>
          <w:tcPr>
            <w:tcW w:w="1594" w:type="dxa"/>
            <w:tcBorders>
              <w:top w:val="nil"/>
            </w:tcBorders>
          </w:tcPr>
          <w:p w:rsidR="00000000" w:rsidRDefault="00D35856">
            <w:pPr>
              <w:keepNext w:val="0"/>
              <w:spacing w:after="0"/>
            </w:pPr>
            <w:r>
              <w:rPr>
                <w:rFonts w:ascii="Arial" w:hAnsi="Arial"/>
              </w:rPr>
              <w:t>Global</w:t>
            </w:r>
          </w:p>
        </w:tc>
        <w:tc>
          <w:tcPr>
            <w:tcW w:w="2517" w:type="dxa"/>
          </w:tcPr>
          <w:p w:rsidR="00000000" w:rsidRDefault="00D35856">
            <w:pPr>
              <w:keepNext w:val="0"/>
              <w:spacing w:after="0"/>
              <w:rPr>
                <w:rFonts w:ascii="Arial" w:hAnsi="Arial"/>
              </w:rPr>
            </w:pPr>
            <w:r>
              <w:rPr>
                <w:rFonts w:ascii="Arial" w:hAnsi="Arial"/>
              </w:rPr>
              <w:t>Reduced greenhouse gas impact</w:t>
            </w:r>
          </w:p>
        </w:tc>
        <w:tc>
          <w:tcPr>
            <w:tcW w:w="4361" w:type="dxa"/>
          </w:tcPr>
          <w:p w:rsidR="00000000" w:rsidRDefault="00D35856">
            <w:pPr>
              <w:keepNext w:val="0"/>
              <w:spacing w:after="0"/>
              <w:rPr>
                <w:rFonts w:ascii="Arial" w:hAnsi="Arial"/>
              </w:rPr>
            </w:pPr>
            <w:r>
              <w:rPr>
                <w:rFonts w:ascii="Arial" w:hAnsi="Arial"/>
              </w:rPr>
              <w:t>Due to reduced energy use associated with hot water use.</w:t>
            </w:r>
          </w:p>
        </w:tc>
      </w:tr>
    </w:tbl>
    <w:p w:rsidR="00000000" w:rsidRDefault="00D35856">
      <w:pPr>
        <w:keepNext w:val="0"/>
      </w:pPr>
    </w:p>
    <w:p w:rsidR="00000000" w:rsidRDefault="00D35856">
      <w:pPr>
        <w:pStyle w:val="Heading1"/>
        <w:numPr>
          <w:ilvl w:val="0"/>
          <w:numId w:val="3"/>
        </w:numPr>
        <w:tabs>
          <w:tab w:val="clear" w:pos="1152"/>
        </w:tabs>
        <w:ind w:left="567" w:hanging="567"/>
        <w:rPr>
          <w:color w:val="auto"/>
        </w:rPr>
      </w:pPr>
      <w:bookmarkStart w:id="45" w:name="_Toc199933734"/>
      <w:r>
        <w:rPr>
          <w:color w:val="auto"/>
        </w:rPr>
        <w:lastRenderedPageBreak/>
        <w:t>Water savings due to WELS</w:t>
      </w:r>
      <w:bookmarkEnd w:id="45"/>
    </w:p>
    <w:p w:rsidR="00000000" w:rsidRDefault="00D35856">
      <w:pPr>
        <w:keepNext w:val="0"/>
      </w:pPr>
      <w:r>
        <w:t xml:space="preserve">This section presents the results of analysis of water savings due to </w:t>
      </w:r>
      <w:smartTag w:uri="urn:schemas-microsoft-com:office:smarttags" w:element="City">
        <w:r>
          <w:t>WELS</w:t>
        </w:r>
      </w:smartTag>
      <w:r>
        <w:t xml:space="preserve">. It also identifies confounding factors which influence the </w:t>
      </w:r>
      <w:r>
        <w:t xml:space="preserve">realised savings, including rebate programs and building regulations. Experiences and perspectives from stakeholders in different locations in </w:t>
      </w:r>
      <w:smartTag w:uri="urn:schemas-microsoft-com:office:smarttags" w:element="City">
        <w:r>
          <w:t>Australia</w:t>
        </w:r>
      </w:smartTag>
      <w:r>
        <w:t xml:space="preserve"> regarding </w:t>
      </w:r>
      <w:smartTag w:uri="urn:schemas-microsoft-com:office:smarttags" w:element="City">
        <w:r>
          <w:t>WELS</w:t>
        </w:r>
      </w:smartTag>
      <w:r>
        <w:t xml:space="preserve"> and their interaction with other influencing factors for various products ar</w:t>
      </w:r>
      <w:r>
        <w:t xml:space="preserve">e described throughout. </w:t>
      </w:r>
    </w:p>
    <w:p w:rsidR="00000000" w:rsidRDefault="00D35856">
      <w:pPr>
        <w:pStyle w:val="Heading2"/>
        <w:numPr>
          <w:ilvl w:val="1"/>
          <w:numId w:val="3"/>
        </w:numPr>
        <w:tabs>
          <w:tab w:val="clear" w:pos="1296"/>
        </w:tabs>
        <w:ind w:left="567" w:hanging="567"/>
        <w:rPr>
          <w:color w:val="auto"/>
        </w:rPr>
      </w:pPr>
      <w:bookmarkStart w:id="46" w:name="_Toc191452225"/>
      <w:bookmarkStart w:id="47" w:name="_Toc199933735"/>
      <w:r>
        <w:rPr>
          <w:color w:val="auto"/>
        </w:rPr>
        <w:t>Introduction to the analysis of water savings</w:t>
      </w:r>
      <w:bookmarkEnd w:id="46"/>
      <w:bookmarkEnd w:id="47"/>
    </w:p>
    <w:p w:rsidR="00000000" w:rsidRDefault="00D35856">
      <w:pPr>
        <w:keepNext w:val="0"/>
      </w:pPr>
      <w:r>
        <w:t>In order to analyse and project water demand figures, water use is typically disaggregated into sectors, such as residential, com</w:t>
      </w:r>
      <w:r>
        <w:t>mercial and industrial. Within each of these sectors, the demand can be disaggregated further into end uses. These end uses will include the residential components of outdoor water use, toilets and clothes washers, but also will include non-revenue water</w:t>
      </w:r>
      <w:r>
        <w:rPr>
          <w:rStyle w:val="FootnoteReference"/>
        </w:rPr>
        <w:footnoteReference w:id="1"/>
      </w:r>
      <w:r>
        <w:t>, and commercial and industrial end-uses.</w:t>
      </w:r>
    </w:p>
    <w:p w:rsidR="00000000" w:rsidRDefault="00D35856">
      <w:r>
        <w:t>Each of these constituent end uses is then analysed in further detail to establish the use and poten</w:t>
      </w:r>
      <w:r>
        <w:t xml:space="preserve">tial growth or decline in water consumption. An analysis of end uses may reveal, for example, the difference in outdoor water use around the country, and that </w:t>
      </w:r>
      <w:smartTag w:uri="urn:schemas-microsoft-com:office:smarttags" w:element="City">
        <w:r>
          <w:t>Sydney</w:t>
        </w:r>
      </w:smartTag>
      <w:r>
        <w:t xml:space="preserve"> has much less outdoor water use per capita than </w:t>
      </w:r>
      <w:smartTag w:uri="urn:schemas-microsoft-com:office:smarttags" w:element="City">
        <w:r>
          <w:t>Western Australia</w:t>
        </w:r>
      </w:smartTag>
      <w:r>
        <w:t>. Alternative</w:t>
      </w:r>
      <w:r>
        <w:t xml:space="preserve">ly, the analysis may reveal the end uses that require the most focus in terms of designing demand management programs. </w:t>
      </w:r>
    </w:p>
    <w:p w:rsidR="00000000" w:rsidRDefault="00D35856">
      <w:r>
        <w:t xml:space="preserve">George Wilkenfeld and Associates (2003) includes a disaggregation into sectors for demand across </w:t>
      </w:r>
      <w:smartTag w:uri="urn:schemas-microsoft-com:office:smarttags" w:element="City">
        <w:r>
          <w:t>Australia</w:t>
        </w:r>
      </w:smartTag>
      <w:r>
        <w:t xml:space="preserve">, including the categories of domestic use, manufacturing and agriculture. This analysis showed that across </w:t>
      </w:r>
      <w:smartTag w:uri="urn:schemas-microsoft-com:office:smarttags" w:element="City">
        <w:r>
          <w:t>Australia</w:t>
        </w:r>
      </w:smartTag>
      <w:r>
        <w:t xml:space="preserve"> in 1996-1997, domestic use accounted for about 16% of total water use. This is shown below in </w:t>
      </w:r>
      <w:r>
        <w:fldChar w:fldCharType="begin"/>
      </w:r>
      <w:r>
        <w:instrText xml:space="preserve"> REF _Ref191427944 \h </w:instrText>
      </w:r>
      <w:r>
        <w:fldChar w:fldCharType="separate"/>
      </w:r>
      <w:r>
        <w:t xml:space="preserve">Figure </w:t>
      </w:r>
      <w:r>
        <w:rPr>
          <w:noProof/>
        </w:rPr>
        <w:t>3</w:t>
      </w:r>
      <w:r>
        <w:noBreakHyphen/>
      </w:r>
      <w:r>
        <w:rPr>
          <w:noProof/>
        </w:rPr>
        <w:t>1</w:t>
      </w:r>
      <w:r>
        <w:fldChar w:fldCharType="end"/>
      </w:r>
      <w:r>
        <w:t xml:space="preserve">. </w:t>
      </w:r>
    </w:p>
    <w:p w:rsidR="00000000" w:rsidRDefault="00D35856">
      <w:pPr>
        <w:pStyle w:val="Caption"/>
      </w:pPr>
      <w:bookmarkStart w:id="48" w:name="_Ref191427944"/>
      <w:bookmarkStart w:id="49" w:name="_Toc191475252"/>
      <w:bookmarkStart w:id="50" w:name="_Toc199933815"/>
      <w:r>
        <w:t xml:space="preserve">Figure </w:t>
      </w:r>
      <w:r>
        <w:fldChar w:fldCharType="begin"/>
      </w:r>
      <w:r>
        <w:instrText xml:space="preserve"> STYLEREF 1 \s </w:instrText>
      </w:r>
      <w:r>
        <w:fldChar w:fldCharType="separate"/>
      </w:r>
      <w:r>
        <w:rPr>
          <w:noProof/>
        </w:rPr>
        <w:t>3</w:t>
      </w:r>
      <w:r>
        <w:fldChar w:fldCharType="end"/>
      </w:r>
      <w:r>
        <w:noBreakHyphen/>
      </w:r>
      <w:r>
        <w:fldChar w:fldCharType="begin"/>
      </w:r>
      <w:r>
        <w:instrText xml:space="preserve"> SEQ Figure \* ARABIC \s 1 </w:instrText>
      </w:r>
      <w:r>
        <w:fldChar w:fldCharType="separate"/>
      </w:r>
      <w:r>
        <w:rPr>
          <w:noProof/>
        </w:rPr>
        <w:t>1</w:t>
      </w:r>
      <w:r>
        <w:fldChar w:fldCharType="end"/>
      </w:r>
      <w:bookmarkEnd w:id="48"/>
      <w:r>
        <w:t xml:space="preserve"> Mains water use by sector, </w:t>
      </w:r>
      <w:smartTag w:uri="urn:schemas-microsoft-com:office:smarttags" w:element="City">
        <w:r>
          <w:t>Australia</w:t>
        </w:r>
      </w:smartTag>
      <w:r>
        <w:t xml:space="preserve"> 1996-1997 (George Wilkenfeld and A</w:t>
      </w:r>
      <w:r>
        <w:t>ssociates, 2003)</w:t>
      </w:r>
      <w:bookmarkEnd w:id="49"/>
      <w:bookmarkEnd w:id="50"/>
    </w:p>
    <w:p w:rsidR="00000000" w:rsidRDefault="00D35856">
      <w:r>
        <w:rPr>
          <w:noProof/>
          <w:lang w:eastAsia="en-AU"/>
        </w:rPr>
        <w:drawing>
          <wp:inline distT="0" distB="0" distL="0" distR="0">
            <wp:extent cx="5356860" cy="1531620"/>
            <wp:effectExtent l="19050" t="0" r="0" b="0"/>
            <wp:docPr id="8" name="Picture 8" descr="Fig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3-1"/>
                    <pic:cNvPicPr>
                      <a:picLocks noChangeAspect="1" noChangeArrowheads="1"/>
                    </pic:cNvPicPr>
                  </pic:nvPicPr>
                  <pic:blipFill>
                    <a:blip r:embed="rId21"/>
                    <a:srcRect/>
                    <a:stretch>
                      <a:fillRect/>
                    </a:stretch>
                  </pic:blipFill>
                  <pic:spPr bwMode="auto">
                    <a:xfrm>
                      <a:off x="0" y="0"/>
                      <a:ext cx="5356860" cy="1531620"/>
                    </a:xfrm>
                    <a:prstGeom prst="rect">
                      <a:avLst/>
                    </a:prstGeom>
                    <a:noFill/>
                    <a:ln w="9525">
                      <a:noFill/>
                      <a:miter lim="800000"/>
                      <a:headEnd/>
                      <a:tailEnd/>
                    </a:ln>
                  </pic:spPr>
                </pic:pic>
              </a:graphicData>
            </a:graphic>
          </wp:inline>
        </w:drawing>
      </w:r>
    </w:p>
    <w:p w:rsidR="00000000" w:rsidRDefault="00D35856">
      <w:pPr>
        <w:keepNext w:val="0"/>
      </w:pPr>
      <w:r>
        <w:t>Within the ‘households’ end use, George Wilkenfeld and Associates (2003) then disaggregated this sector into taps, showers, baths, clo</w:t>
      </w:r>
      <w:r>
        <w:t xml:space="preserve">thes washers, dishwashers, toilets, water heaters and outdoor water use. </w:t>
      </w:r>
      <w:smartTag w:uri="urn:schemas-microsoft-com:office:smarttags" w:element="City">
        <w:r>
          <w:t>WELS</w:t>
        </w:r>
      </w:smartTag>
      <w:r>
        <w:t xml:space="preserve"> products reduce water use indoors, and therefore it is reasonable to focus on indoor end uses in this analysis. </w:t>
      </w:r>
    </w:p>
    <w:p w:rsidR="00000000" w:rsidRDefault="00D35856">
      <w:pPr>
        <w:keepNext w:val="0"/>
      </w:pPr>
      <w:r>
        <w:lastRenderedPageBreak/>
        <w:t xml:space="preserve">A snapshot of residential indoor water end uses in </w:t>
      </w:r>
      <w:smartTag w:uri="urn:schemas-microsoft-com:office:smarttags" w:element="City">
        <w:r>
          <w:t>Melbourne</w:t>
        </w:r>
      </w:smartTag>
      <w:r>
        <w:t xml:space="preserve"> is given in </w:t>
      </w:r>
      <w:fldSimple w:instr=" REF _Ref187753136 \h  \* MERGEFORMAT ">
        <w:r>
          <w:t xml:space="preserve">Figure </w:t>
        </w:r>
        <w:r>
          <w:rPr>
            <w:noProof/>
          </w:rPr>
          <w:t>3</w:t>
        </w:r>
        <w:r>
          <w:rPr>
            <w:noProof/>
          </w:rPr>
          <w:noBreakHyphen/>
          <w:t>2</w:t>
        </w:r>
      </w:fldSimple>
      <w:r>
        <w:t>. This shows the more significant end-uses in a household are clothes washers, showers and toilets. These are also th</w:t>
      </w:r>
      <w:r>
        <w:t>e end-uses that have the greatest potential in terms of water savings. In particular, clothes washers and showerheads have a large conservation potential because there are a significant proportion of inefficient appliances and fixtures remaining in househo</w:t>
      </w:r>
      <w:r>
        <w:t>lds (ABS, 2005). By comparison, a large proportion of toilets are already dual-flush and therefore relatively efficient. As a result, toilets have a lower but still significant potential to contribute water savings when compared with showerheads and clothe</w:t>
      </w:r>
      <w:r>
        <w:t xml:space="preserve">s washers. </w:t>
      </w:r>
    </w:p>
    <w:p w:rsidR="00000000" w:rsidRDefault="00D35856">
      <w:pPr>
        <w:keepNext w:val="0"/>
      </w:pPr>
      <w:r>
        <w:rPr>
          <w:rStyle w:val="Normal-violetChar"/>
          <w:rFonts w:ascii="Palatino Linotype" w:hAnsi="Palatino Linotype"/>
          <w:sz w:val="22"/>
        </w:rPr>
        <w:t xml:space="preserve">All the indoor water uses shown in </w:t>
      </w:r>
      <w:fldSimple w:instr=" REF _Ref187753136 \h  \* MERGEFORMAT ">
        <w:r>
          <w:t xml:space="preserve">Figure </w:t>
        </w:r>
        <w:r>
          <w:rPr>
            <w:noProof/>
          </w:rPr>
          <w:t>3</w:t>
        </w:r>
        <w:r>
          <w:rPr>
            <w:noProof/>
          </w:rPr>
          <w:noBreakHyphen/>
          <w:t>2</w:t>
        </w:r>
      </w:fldSimple>
      <w:r>
        <w:rPr>
          <w:rStyle w:val="Normal-violetChar"/>
          <w:rFonts w:ascii="Palatino Linotype" w:hAnsi="Palatino Linotype"/>
          <w:sz w:val="22"/>
        </w:rPr>
        <w:t xml:space="preserve"> can be reduced as a result of </w:t>
      </w:r>
      <w:smartTag w:uri="urn:schemas-microsoft-com:office:smarttags" w:element="City">
        <w:r>
          <w:rPr>
            <w:rStyle w:val="Normal-violetChar"/>
            <w:rFonts w:ascii="Palatino Linotype" w:hAnsi="Palatino Linotype"/>
            <w:sz w:val="22"/>
          </w:rPr>
          <w:t>WELS</w:t>
        </w:r>
      </w:smartTag>
      <w:r>
        <w:rPr>
          <w:rStyle w:val="Normal-violetChar"/>
          <w:rFonts w:ascii="Palatino Linotype" w:hAnsi="Palatino Linotype"/>
          <w:sz w:val="22"/>
        </w:rPr>
        <w:t xml:space="preserve"> products, except for bath use (which is a volumet</w:t>
      </w:r>
      <w:r>
        <w:rPr>
          <w:rStyle w:val="Normal-violetChar"/>
          <w:rFonts w:ascii="Palatino Linotype" w:hAnsi="Palatino Linotype"/>
          <w:sz w:val="22"/>
        </w:rPr>
        <w:t xml:space="preserve">ric end-use). Water savings due to </w:t>
      </w:r>
      <w:smartTag w:uri="urn:schemas-microsoft-com:office:smarttags" w:element="City">
        <w:r>
          <w:rPr>
            <w:rStyle w:val="Normal-violetChar"/>
            <w:rFonts w:ascii="Palatino Linotype" w:hAnsi="Palatino Linotype"/>
            <w:sz w:val="22"/>
          </w:rPr>
          <w:t>WELS</w:t>
        </w:r>
      </w:smartTag>
      <w:r>
        <w:rPr>
          <w:rStyle w:val="Normal-violetChar"/>
          <w:rFonts w:ascii="Palatino Linotype" w:hAnsi="Palatino Linotype"/>
          <w:sz w:val="22"/>
        </w:rPr>
        <w:t xml:space="preserve"> should be considered in the context of their relative</w:t>
      </w:r>
      <w:r>
        <w:t xml:space="preserve"> importance in the home and in commercial settings. </w:t>
      </w:r>
    </w:p>
    <w:p w:rsidR="00000000" w:rsidRDefault="00D35856">
      <w:pPr>
        <w:pStyle w:val="Caption"/>
        <w:keepNext w:val="0"/>
        <w:jc w:val="center"/>
      </w:pPr>
      <w:bookmarkStart w:id="51" w:name="_Ref187753136"/>
      <w:bookmarkStart w:id="52" w:name="_Toc191475253"/>
      <w:bookmarkStart w:id="53" w:name="_Toc199933816"/>
      <w:r>
        <w:t xml:space="preserve">Figure </w:t>
      </w:r>
      <w:r>
        <w:fldChar w:fldCharType="begin"/>
      </w:r>
      <w:r>
        <w:instrText xml:space="preserve"> STYLEREF 1 \s </w:instrText>
      </w:r>
      <w:r>
        <w:fldChar w:fldCharType="separate"/>
      </w:r>
      <w:r>
        <w:rPr>
          <w:noProof/>
        </w:rPr>
        <w:t>3</w:t>
      </w:r>
      <w:r>
        <w:fldChar w:fldCharType="end"/>
      </w:r>
      <w:r>
        <w:noBreakHyphen/>
      </w:r>
      <w:r>
        <w:fldChar w:fldCharType="begin"/>
      </w:r>
      <w:r>
        <w:instrText xml:space="preserve"> SEQ Figure \* ARABIC \s 1 </w:instrText>
      </w:r>
      <w:r>
        <w:fldChar w:fldCharType="separate"/>
      </w:r>
      <w:r>
        <w:rPr>
          <w:noProof/>
        </w:rPr>
        <w:t>2</w:t>
      </w:r>
      <w:r>
        <w:fldChar w:fldCharType="end"/>
      </w:r>
      <w:bookmarkEnd w:id="51"/>
      <w:r>
        <w:t xml:space="preserve">: Relative magnitude of water end uses in </w:t>
      </w:r>
      <w:smartTag w:uri="urn:schemas-microsoft-com:office:smarttags" w:element="City">
        <w:r>
          <w:t>Melbourne</w:t>
        </w:r>
      </w:smartTag>
      <w:bookmarkEnd w:id="52"/>
      <w:bookmarkEnd w:id="53"/>
    </w:p>
    <w:p w:rsidR="00000000" w:rsidRDefault="00D35856">
      <w:pPr>
        <w:keepNext w:val="0"/>
        <w:jc w:val="center"/>
      </w:pPr>
      <w:r>
        <w:rPr>
          <w:noProof/>
          <w:lang w:eastAsia="en-AU"/>
        </w:rPr>
        <w:drawing>
          <wp:inline distT="0" distB="0" distL="0" distR="0">
            <wp:extent cx="3695700" cy="2689860"/>
            <wp:effectExtent l="19050" t="0" r="0" b="0"/>
            <wp:docPr id="9" name="Picture 9" descr="Fig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3-2"/>
                    <pic:cNvPicPr>
                      <a:picLocks noChangeAspect="1" noChangeArrowheads="1"/>
                    </pic:cNvPicPr>
                  </pic:nvPicPr>
                  <pic:blipFill>
                    <a:blip r:embed="rId22"/>
                    <a:srcRect/>
                    <a:stretch>
                      <a:fillRect/>
                    </a:stretch>
                  </pic:blipFill>
                  <pic:spPr bwMode="auto">
                    <a:xfrm>
                      <a:off x="0" y="0"/>
                      <a:ext cx="3695700" cy="2689860"/>
                    </a:xfrm>
                    <a:prstGeom prst="rect">
                      <a:avLst/>
                    </a:prstGeom>
                    <a:noFill/>
                    <a:ln w="9525">
                      <a:noFill/>
                      <a:miter lim="800000"/>
                      <a:headEnd/>
                      <a:tailEnd/>
                    </a:ln>
                  </pic:spPr>
                </pic:pic>
              </a:graphicData>
            </a:graphic>
          </wp:inline>
        </w:drawing>
      </w:r>
    </w:p>
    <w:p w:rsidR="00000000" w:rsidRDefault="00D35856">
      <w:pPr>
        <w:keepNext w:val="0"/>
      </w:pPr>
      <w:bookmarkStart w:id="54" w:name="_Toc190583785"/>
      <w:r>
        <w:t>In the analysis conducted in this report, an end-use analysis of all en</w:t>
      </w:r>
      <w:r>
        <w:t>d uses for residential and non-residential end uses has not been conducted. This is because for many products insufficient data was available to build stock models for both the residential and non-residential sectors. As a result, the water consumption and</w:t>
      </w:r>
      <w:r>
        <w:t xml:space="preserve"> savings have not been resolved into different building classes such as multi-residential blocks, single residential and semi-detached households. The ‘residential’ sector as it is analysed in this study is a conglomeration of all these components. </w:t>
      </w:r>
    </w:p>
    <w:p w:rsidR="00000000" w:rsidRDefault="00D35856">
      <w:pPr>
        <w:keepNext w:val="0"/>
      </w:pPr>
      <w:r>
        <w:t>In the</w:t>
      </w:r>
      <w:r>
        <w:t xml:space="preserve"> non-residential sectors, the assumption has been made that clothes washers and dishwashers have minimal contribution to overall consumption as the overwhelming majority of these appliances are used in domestic contexts. For showerheads, there was no avail</w:t>
      </w:r>
      <w:r>
        <w:t>able data regarding the different behaviours of people in the commercial context, although it is expected that showerheads in non-residential building would be used with a greater frequency than for residential. As a result, the assumption of ‘residential’</w:t>
      </w:r>
      <w:r>
        <w:t xml:space="preserve"> showerhead behaviours for all showers may result in a slightly underestimated water savings figure. Toilets, taps and urinals do however have a non-</w:t>
      </w:r>
      <w:r>
        <w:lastRenderedPageBreak/>
        <w:t xml:space="preserve">negligible commercial and industrial market, and this has been accounted for in the following discussion. </w:t>
      </w:r>
    </w:p>
    <w:p w:rsidR="00000000" w:rsidRDefault="00D35856">
      <w:pPr>
        <w:keepNext w:val="0"/>
      </w:pPr>
      <w:r>
        <w:t xml:space="preserve">An alternative approach, focussing on sales data was adopted for clothes washers and dishwashers. This approach involved calculating the difference in projected sales figures with and without </w:t>
      </w:r>
      <w:smartTag w:uri="urn:schemas-microsoft-com:office:smarttags" w:element="City">
        <w:r>
          <w:t>WELS</w:t>
        </w:r>
      </w:smartTag>
      <w:r>
        <w:t xml:space="preserve"> was multiplied by projection of the changing effici</w:t>
      </w:r>
      <w:r>
        <w:t>ency of the stock.  A similar approach was undertaken for showerheads.</w:t>
      </w:r>
    </w:p>
    <w:p w:rsidR="00000000" w:rsidRDefault="00D35856">
      <w:pPr>
        <w:pStyle w:val="Heading2"/>
        <w:numPr>
          <w:ilvl w:val="1"/>
          <w:numId w:val="3"/>
        </w:numPr>
        <w:tabs>
          <w:tab w:val="clear" w:pos="1296"/>
        </w:tabs>
        <w:ind w:left="567" w:hanging="567"/>
        <w:rPr>
          <w:color w:val="auto"/>
        </w:rPr>
      </w:pPr>
      <w:bookmarkStart w:id="55" w:name="_Toc191452226"/>
      <w:bookmarkStart w:id="56" w:name="_Toc199933736"/>
      <w:r>
        <w:rPr>
          <w:color w:val="auto"/>
        </w:rPr>
        <w:t>Method and data sources</w:t>
      </w:r>
      <w:bookmarkEnd w:id="55"/>
      <w:bookmarkEnd w:id="56"/>
    </w:p>
    <w:p w:rsidR="00000000" w:rsidRDefault="00D35856">
      <w:pPr>
        <w:keepNext w:val="0"/>
      </w:pPr>
      <w:r>
        <w:t xml:space="preserve">The overarching method for calculating water savings due to </w:t>
      </w:r>
      <w:smartTag w:uri="urn:schemas-microsoft-com:office:smarttags" w:element="City">
        <w:r>
          <w:t>WELS</w:t>
        </w:r>
      </w:smartTag>
      <w:r>
        <w:t xml:space="preserve"> is to establish the marginal dif</w:t>
      </w:r>
      <w:r>
        <w:t>ference in water savings achieved under the current mandatory labelling scheme, and the savings that would otherwise have been achieved under a voluntary labelling scheme. The water use that would have been achieved under the voluntary labelling scheme the</w:t>
      </w:r>
      <w:r>
        <w:t xml:space="preserve">refore form the baseline scenario for this analysis. </w:t>
      </w:r>
    </w:p>
    <w:p w:rsidR="00000000" w:rsidRDefault="00D35856">
      <w:pPr>
        <w:keepNext w:val="0"/>
      </w:pPr>
      <w:r>
        <w:t xml:space="preserve">Projections of the market shifts under a voluntary scheme were conducted based on the most recent data available prior to the mandatory labelling scheme. Projections of the market shifts resulting from </w:t>
      </w:r>
      <w:r>
        <w:t>the mandatory scheme were based on the most recent data, paying particular attention to the market shift since mandatory labelling was implemented.</w:t>
      </w:r>
      <w:r>
        <w:rPr>
          <w:rStyle w:val="FootnoteReference"/>
        </w:rPr>
        <w:footnoteReference w:id="2"/>
      </w:r>
    </w:p>
    <w:p w:rsidR="00000000" w:rsidRDefault="00D35856">
      <w:pPr>
        <w:keepNext w:val="0"/>
      </w:pPr>
      <w:r>
        <w:t>The water savings calculations conducted in this study draw upon many of the assumptions used in George Wilkenfeld and Ass</w:t>
      </w:r>
      <w:r>
        <w:t>ociates (2004)</w:t>
      </w:r>
      <w:r>
        <w:rPr>
          <w:rStyle w:val="FootnoteReference"/>
        </w:rPr>
        <w:footnoteReference w:id="3"/>
      </w:r>
      <w:r>
        <w:t xml:space="preserve">, establishing new projections based on current data collected since </w:t>
      </w:r>
      <w:smartTag w:uri="urn:schemas-microsoft-com:office:smarttags" w:element="City">
        <w:r>
          <w:t>WELS</w:t>
        </w:r>
      </w:smartTag>
      <w:r>
        <w:t xml:space="preserve"> has been in place. The new sources of data incorporated into this analysis includes:</w:t>
      </w:r>
    </w:p>
    <w:p w:rsidR="00000000" w:rsidRDefault="00D35856">
      <w:pPr>
        <w:keepNext w:val="0"/>
        <w:numPr>
          <w:ilvl w:val="0"/>
          <w:numId w:val="9"/>
        </w:numPr>
      </w:pPr>
      <w:r>
        <w:t xml:space="preserve">sales data of clothes washers and dishwashers up to 2006 (EES, 2008) </w:t>
      </w:r>
    </w:p>
    <w:p w:rsidR="00000000" w:rsidRDefault="00D35856">
      <w:pPr>
        <w:keepNext w:val="0"/>
        <w:numPr>
          <w:ilvl w:val="0"/>
          <w:numId w:val="9"/>
        </w:numPr>
      </w:pPr>
      <w:r>
        <w:t xml:space="preserve">latest ABS survey data on the uptake of efficient clothes washers, dishwashers and showerheads  </w:t>
      </w:r>
      <w:r>
        <w:t>(ABS, 2005)</w:t>
      </w:r>
    </w:p>
    <w:p w:rsidR="00000000" w:rsidRDefault="00D35856">
      <w:pPr>
        <w:keepNext w:val="0"/>
        <w:numPr>
          <w:ilvl w:val="0"/>
          <w:numId w:val="9"/>
        </w:numPr>
      </w:pPr>
      <w:r>
        <w:t xml:space="preserve">results from a range of stakeholders interviews regarding the impact of </w:t>
      </w:r>
      <w:smartTag w:uri="urn:schemas-microsoft-com:office:smarttags" w:element="City">
        <w:r>
          <w:t>WELS</w:t>
        </w:r>
      </w:smartTag>
      <w:r>
        <w:t xml:space="preserve"> and the different roles played in achieving water savings </w:t>
      </w:r>
    </w:p>
    <w:p w:rsidR="00000000" w:rsidRDefault="00D35856">
      <w:pPr>
        <w:keepNext w:val="0"/>
        <w:numPr>
          <w:ilvl w:val="0"/>
          <w:numId w:val="9"/>
        </w:numPr>
      </w:pPr>
      <w:r>
        <w:t>recent analysis of building regulations, current literature regarding water security, demand man</w:t>
      </w:r>
      <w:r>
        <w:t xml:space="preserve">agement and cost effectiveness analysis. </w:t>
      </w:r>
    </w:p>
    <w:p w:rsidR="00000000" w:rsidRDefault="00D35856">
      <w:pPr>
        <w:pStyle w:val="Heading2"/>
        <w:pageBreakBefore/>
        <w:numPr>
          <w:ilvl w:val="1"/>
          <w:numId w:val="3"/>
        </w:numPr>
        <w:tabs>
          <w:tab w:val="clear" w:pos="1296"/>
        </w:tabs>
        <w:ind w:left="567" w:hanging="567"/>
        <w:rPr>
          <w:color w:val="auto"/>
        </w:rPr>
      </w:pPr>
      <w:bookmarkStart w:id="57" w:name="_Toc191452227"/>
      <w:bookmarkStart w:id="58" w:name="_Toc199933737"/>
      <w:r>
        <w:rPr>
          <w:color w:val="auto"/>
        </w:rPr>
        <w:lastRenderedPageBreak/>
        <w:t xml:space="preserve">Analysis of </w:t>
      </w:r>
      <w:smartTag w:uri="urn:schemas-microsoft-com:office:smarttags" w:element="City">
        <w:r>
          <w:rPr>
            <w:color w:val="auto"/>
          </w:rPr>
          <w:t>WELS</w:t>
        </w:r>
      </w:smartTag>
      <w:r>
        <w:rPr>
          <w:color w:val="auto"/>
        </w:rPr>
        <w:t xml:space="preserve"> Water Savings</w:t>
      </w:r>
      <w:bookmarkEnd w:id="54"/>
      <w:bookmarkEnd w:id="57"/>
      <w:bookmarkEnd w:id="58"/>
    </w:p>
    <w:p w:rsidR="00000000" w:rsidRDefault="00D35856">
      <w:pPr>
        <w:pStyle w:val="Heading3"/>
        <w:keepNext w:val="0"/>
        <w:numPr>
          <w:ilvl w:val="2"/>
          <w:numId w:val="3"/>
        </w:numPr>
        <w:tabs>
          <w:tab w:val="clear" w:pos="1440"/>
        </w:tabs>
        <w:ind w:left="851" w:hanging="851"/>
        <w:rPr>
          <w:color w:val="auto"/>
        </w:rPr>
      </w:pPr>
      <w:bookmarkStart w:id="59" w:name="_Toc190583786"/>
      <w:bookmarkStart w:id="60" w:name="_Toc191452228"/>
      <w:bookmarkStart w:id="61" w:name="_Toc199933738"/>
      <w:r>
        <w:rPr>
          <w:color w:val="auto"/>
        </w:rPr>
        <w:t>Washing machines</w:t>
      </w:r>
      <w:bookmarkEnd w:id="59"/>
      <w:bookmarkEnd w:id="60"/>
      <w:bookmarkEnd w:id="61"/>
    </w:p>
    <w:p w:rsidR="00000000" w:rsidRDefault="00D35856">
      <w:pPr>
        <w:keepNext w:val="0"/>
      </w:pPr>
      <w:r>
        <w:t>Clothes washers have a significant conservation potential, as there are a significant number of inefficient machines currently used, and the rate of improvement in the technology is relatively rapid. In addition, clothes washers form a significant proporti</w:t>
      </w:r>
      <w:r>
        <w:t>on of indoor water use in most households.</w:t>
      </w:r>
    </w:p>
    <w:p w:rsidR="00000000" w:rsidRDefault="00D35856">
      <w:pPr>
        <w:keepNext w:val="0"/>
      </w:pPr>
      <w:r>
        <w:t>The contribution of commercial washing machines is assumed to be minimal.</w:t>
      </w:r>
    </w:p>
    <w:p w:rsidR="00000000" w:rsidRDefault="00D35856">
      <w:pPr>
        <w:pStyle w:val="Heading4"/>
        <w:keepNext w:val="0"/>
        <w:rPr>
          <w:color w:val="auto"/>
        </w:rPr>
      </w:pPr>
      <w:r>
        <w:rPr>
          <w:color w:val="auto"/>
        </w:rPr>
        <w:t xml:space="preserve">Available Data Sources </w:t>
      </w:r>
    </w:p>
    <w:p w:rsidR="00000000" w:rsidRDefault="00D35856">
      <w:pPr>
        <w:keepNext w:val="0"/>
      </w:pPr>
      <w:r>
        <w:t xml:space="preserve">Principal sources of data relating to washing machines and their use in modelling water savings are shown in </w:t>
      </w:r>
      <w:fldSimple w:instr=" REF _Ref188083439 \h  \* MERGEFORMAT ">
        <w:r>
          <w:t xml:space="preserve">Table </w:t>
        </w:r>
        <w:r>
          <w:rPr>
            <w:noProof/>
          </w:rPr>
          <w:t>3</w:t>
        </w:r>
        <w:r>
          <w:rPr>
            <w:noProof/>
          </w:rPr>
          <w:noBreakHyphen/>
          <w:t>1</w:t>
        </w:r>
      </w:fldSimple>
      <w:r>
        <w:t>.</w:t>
      </w:r>
    </w:p>
    <w:p w:rsidR="00000000" w:rsidRDefault="00D35856">
      <w:pPr>
        <w:pStyle w:val="Caption"/>
        <w:keepNext w:val="0"/>
      </w:pPr>
      <w:bookmarkStart w:id="62" w:name="_Ref188083439"/>
      <w:bookmarkStart w:id="63" w:name="_Toc199933785"/>
      <w:r>
        <w:t xml:space="preserve">Table </w:t>
      </w:r>
      <w:r>
        <w:fldChar w:fldCharType="begin"/>
      </w:r>
      <w:r>
        <w:instrText xml:space="preserve"> STYLEREF 1 \s </w:instrText>
      </w:r>
      <w:r>
        <w:fldChar w:fldCharType="separate"/>
      </w:r>
      <w:r>
        <w:rPr>
          <w:noProof/>
        </w:rPr>
        <w:t>3</w:t>
      </w:r>
      <w:r>
        <w:fldChar w:fldCharType="end"/>
      </w:r>
      <w:r>
        <w:noBreakHyphen/>
      </w:r>
      <w:r>
        <w:fldChar w:fldCharType="begin"/>
      </w:r>
      <w:r>
        <w:instrText xml:space="preserve"> SEQ Table \* ARABIC \s 1 </w:instrText>
      </w:r>
      <w:r>
        <w:fldChar w:fldCharType="separate"/>
      </w:r>
      <w:r>
        <w:rPr>
          <w:noProof/>
        </w:rPr>
        <w:t>1</w:t>
      </w:r>
      <w:r>
        <w:fldChar w:fldCharType="end"/>
      </w:r>
      <w:bookmarkEnd w:id="62"/>
      <w:r>
        <w:t>: Washing machines – data sources for water savings</w:t>
      </w:r>
      <w:bookmarkEnd w:id="63"/>
    </w:p>
    <w:tbl>
      <w:tblPr>
        <w:tblStyle w:val="TableGrid"/>
        <w:tblW w:w="8755" w:type="dxa"/>
        <w:tblLook w:val="01E0"/>
      </w:tblPr>
      <w:tblGrid>
        <w:gridCol w:w="1526"/>
        <w:gridCol w:w="3685"/>
        <w:gridCol w:w="3544"/>
      </w:tblGrid>
      <w:tr w:rsidR="00000000">
        <w:tc>
          <w:tcPr>
            <w:tcW w:w="0" w:type="auto"/>
            <w:shd w:val="clear" w:color="auto" w:fill="CCCCCC"/>
          </w:tcPr>
          <w:p w:rsidR="00000000" w:rsidRDefault="00D35856">
            <w:pPr>
              <w:keepNext w:val="0"/>
              <w:spacing w:after="0"/>
              <w:jc w:val="left"/>
              <w:rPr>
                <w:rFonts w:ascii="Arial" w:hAnsi="Arial" w:cs="Arial"/>
                <w:b/>
                <w:sz w:val="20"/>
              </w:rPr>
            </w:pPr>
            <w:r>
              <w:rPr>
                <w:rFonts w:ascii="Arial" w:hAnsi="Arial" w:cs="Arial"/>
                <w:b/>
                <w:sz w:val="20"/>
              </w:rPr>
              <w:t>Data Source</w:t>
            </w:r>
          </w:p>
        </w:tc>
        <w:tc>
          <w:tcPr>
            <w:tcW w:w="0" w:type="auto"/>
            <w:shd w:val="clear" w:color="auto" w:fill="CCCCCC"/>
          </w:tcPr>
          <w:p w:rsidR="00000000" w:rsidRDefault="00D35856">
            <w:pPr>
              <w:keepNext w:val="0"/>
              <w:spacing w:after="0"/>
              <w:jc w:val="left"/>
              <w:rPr>
                <w:rFonts w:ascii="Arial" w:hAnsi="Arial" w:cs="Arial"/>
                <w:b/>
                <w:sz w:val="20"/>
              </w:rPr>
            </w:pPr>
            <w:r>
              <w:rPr>
                <w:rFonts w:ascii="Arial" w:hAnsi="Arial" w:cs="Arial"/>
                <w:b/>
                <w:sz w:val="20"/>
              </w:rPr>
              <w:t>Components / Detail</w:t>
            </w:r>
          </w:p>
        </w:tc>
        <w:tc>
          <w:tcPr>
            <w:tcW w:w="0" w:type="auto"/>
            <w:shd w:val="clear" w:color="auto" w:fill="CCCCCC"/>
          </w:tcPr>
          <w:p w:rsidR="00000000" w:rsidRDefault="00D35856">
            <w:pPr>
              <w:keepNext w:val="0"/>
              <w:spacing w:after="0"/>
              <w:jc w:val="left"/>
              <w:rPr>
                <w:rFonts w:ascii="Arial" w:hAnsi="Arial" w:cs="Arial"/>
                <w:b/>
                <w:sz w:val="20"/>
              </w:rPr>
            </w:pPr>
            <w:r>
              <w:rPr>
                <w:rFonts w:ascii="Arial" w:hAnsi="Arial" w:cs="Arial"/>
                <w:b/>
                <w:sz w:val="20"/>
              </w:rPr>
              <w:t>Comment</w:t>
            </w:r>
          </w:p>
        </w:tc>
      </w:tr>
      <w:tr w:rsidR="00000000">
        <w:tc>
          <w:tcPr>
            <w:tcW w:w="1526" w:type="dxa"/>
          </w:tcPr>
          <w:p w:rsidR="00000000" w:rsidRDefault="00D35856">
            <w:pPr>
              <w:keepNext w:val="0"/>
              <w:spacing w:after="0"/>
              <w:jc w:val="left"/>
              <w:rPr>
                <w:rFonts w:ascii="Arial" w:hAnsi="Arial" w:cs="Arial"/>
                <w:sz w:val="18"/>
              </w:rPr>
            </w:pPr>
            <w:r>
              <w:rPr>
                <w:rFonts w:ascii="Arial" w:hAnsi="Arial" w:cs="Arial"/>
                <w:sz w:val="18"/>
              </w:rPr>
              <w:t>1. George Wilkenfeld and Associates Model for RIS (2004)</w:t>
            </w:r>
          </w:p>
        </w:tc>
        <w:tc>
          <w:tcPr>
            <w:tcW w:w="3685" w:type="dxa"/>
          </w:tcPr>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Water savings by State / Nationally</w:t>
            </w:r>
          </w:p>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Water savings by Front loader / Top loader</w:t>
            </w:r>
          </w:p>
          <w:p w:rsidR="00000000" w:rsidRDefault="00D35856">
            <w:pPr>
              <w:keepNext w:val="0"/>
              <w:spacing w:after="0"/>
              <w:ind w:left="55"/>
              <w:jc w:val="left"/>
              <w:rPr>
                <w:rFonts w:ascii="Arial" w:hAnsi="Arial" w:cs="Arial"/>
                <w:sz w:val="18"/>
              </w:rPr>
            </w:pPr>
          </w:p>
        </w:tc>
        <w:tc>
          <w:tcPr>
            <w:tcW w:w="3544" w:type="dxa"/>
          </w:tcPr>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 xml:space="preserve">Based </w:t>
            </w:r>
            <w:r>
              <w:rPr>
                <w:rFonts w:ascii="Arial" w:hAnsi="Arial" w:cs="Arial"/>
                <w:sz w:val="18"/>
              </w:rPr>
              <w:t>on changing trends in washing machine efficiency, split of sales between front and top loaders, predicted future sales, predicted declining occupancy ratio and constant kg of washing per person per year into the future</w:t>
            </w:r>
          </w:p>
        </w:tc>
      </w:tr>
      <w:tr w:rsidR="00000000">
        <w:tc>
          <w:tcPr>
            <w:tcW w:w="1526" w:type="dxa"/>
          </w:tcPr>
          <w:p w:rsidR="00000000" w:rsidRDefault="00D35856">
            <w:pPr>
              <w:keepNext w:val="0"/>
              <w:spacing w:after="0"/>
              <w:jc w:val="left"/>
              <w:rPr>
                <w:rFonts w:ascii="Arial" w:hAnsi="Arial" w:cs="Arial"/>
                <w:sz w:val="18"/>
              </w:rPr>
            </w:pPr>
            <w:r>
              <w:rPr>
                <w:rFonts w:ascii="Arial" w:hAnsi="Arial" w:cs="Arial"/>
                <w:sz w:val="18"/>
              </w:rPr>
              <w:t>2. GfK Sales Data (to 2005)</w:t>
            </w:r>
          </w:p>
        </w:tc>
        <w:tc>
          <w:tcPr>
            <w:tcW w:w="3685" w:type="dxa"/>
          </w:tcPr>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Actual</w:t>
            </w:r>
            <w:r>
              <w:rPr>
                <w:rFonts w:ascii="Arial" w:hAnsi="Arial" w:cs="Arial"/>
                <w:sz w:val="18"/>
              </w:rPr>
              <w:t xml:space="preserve"> sales trends by State / Nationally</w:t>
            </w:r>
          </w:p>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Water and Energy Star</w:t>
            </w:r>
          </w:p>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Capacity distribution</w:t>
            </w:r>
          </w:p>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Washing machine type</w:t>
            </w:r>
          </w:p>
        </w:tc>
        <w:tc>
          <w:tcPr>
            <w:tcW w:w="3544" w:type="dxa"/>
          </w:tcPr>
          <w:p w:rsidR="00000000" w:rsidRDefault="00D35856">
            <w:pPr>
              <w:keepNext w:val="0"/>
              <w:spacing w:after="0"/>
              <w:ind w:left="55"/>
              <w:jc w:val="left"/>
              <w:rPr>
                <w:rFonts w:ascii="Arial" w:hAnsi="Arial" w:cs="Arial"/>
                <w:sz w:val="18"/>
              </w:rPr>
            </w:pPr>
          </w:p>
        </w:tc>
      </w:tr>
      <w:tr w:rsidR="00000000">
        <w:tc>
          <w:tcPr>
            <w:tcW w:w="1526" w:type="dxa"/>
          </w:tcPr>
          <w:p w:rsidR="00000000" w:rsidRDefault="00D35856">
            <w:pPr>
              <w:keepNext w:val="0"/>
              <w:spacing w:after="0"/>
              <w:jc w:val="left"/>
              <w:rPr>
                <w:rFonts w:ascii="Arial" w:hAnsi="Arial" w:cs="Arial"/>
                <w:sz w:val="18"/>
              </w:rPr>
            </w:pPr>
            <w:r>
              <w:rPr>
                <w:rFonts w:ascii="Arial" w:hAnsi="Arial" w:cs="Arial"/>
                <w:sz w:val="18"/>
              </w:rPr>
              <w:t>3. GfK 2006 Sales</w:t>
            </w:r>
          </w:p>
        </w:tc>
        <w:tc>
          <w:tcPr>
            <w:tcW w:w="3685" w:type="dxa"/>
          </w:tcPr>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As for GfK to 2005 but with sales by model level of detail</w:t>
            </w:r>
          </w:p>
        </w:tc>
        <w:tc>
          <w:tcPr>
            <w:tcW w:w="3544" w:type="dxa"/>
          </w:tcPr>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Useful to compare if water efficient models sold are also energy efficient and visa versa</w:t>
            </w:r>
          </w:p>
        </w:tc>
      </w:tr>
      <w:tr w:rsidR="00000000">
        <w:tc>
          <w:tcPr>
            <w:tcW w:w="1526" w:type="dxa"/>
          </w:tcPr>
          <w:p w:rsidR="00000000" w:rsidRDefault="00D35856">
            <w:pPr>
              <w:keepNext w:val="0"/>
              <w:spacing w:after="0"/>
              <w:jc w:val="left"/>
              <w:rPr>
                <w:rFonts w:ascii="Arial" w:hAnsi="Arial" w:cs="Arial"/>
                <w:sz w:val="18"/>
              </w:rPr>
            </w:pPr>
            <w:r>
              <w:rPr>
                <w:rFonts w:ascii="Arial" w:hAnsi="Arial" w:cs="Arial"/>
                <w:sz w:val="18"/>
              </w:rPr>
              <w:t xml:space="preserve">4. </w:t>
            </w:r>
            <w:smartTag w:uri="urn:schemas-microsoft-com:office:smarttags" w:element="City">
              <w:r>
                <w:rPr>
                  <w:rFonts w:ascii="Arial" w:hAnsi="Arial" w:cs="Arial"/>
                  <w:sz w:val="18"/>
                </w:rPr>
                <w:t>WELS</w:t>
              </w:r>
            </w:smartTag>
            <w:r>
              <w:rPr>
                <w:rFonts w:ascii="Arial" w:hAnsi="Arial" w:cs="Arial"/>
                <w:sz w:val="18"/>
              </w:rPr>
              <w:t xml:space="preserve"> database</w:t>
            </w:r>
          </w:p>
        </w:tc>
        <w:tc>
          <w:tcPr>
            <w:tcW w:w="3685" w:type="dxa"/>
          </w:tcPr>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Number of models registered</w:t>
            </w:r>
          </w:p>
        </w:tc>
        <w:tc>
          <w:tcPr>
            <w:tcW w:w="3544" w:type="dxa"/>
          </w:tcPr>
          <w:p w:rsidR="00000000" w:rsidRDefault="00D35856">
            <w:pPr>
              <w:keepNext w:val="0"/>
              <w:spacing w:after="0"/>
              <w:ind w:left="55"/>
              <w:jc w:val="left"/>
              <w:rPr>
                <w:rFonts w:ascii="Arial" w:hAnsi="Arial" w:cs="Arial"/>
                <w:sz w:val="18"/>
              </w:rPr>
            </w:pPr>
          </w:p>
        </w:tc>
      </w:tr>
    </w:tbl>
    <w:p w:rsidR="00000000" w:rsidRDefault="00D35856">
      <w:pPr>
        <w:pStyle w:val="Heading4"/>
        <w:keepNext w:val="0"/>
        <w:rPr>
          <w:color w:val="auto"/>
        </w:rPr>
      </w:pPr>
      <w:r>
        <w:rPr>
          <w:color w:val="auto"/>
        </w:rPr>
        <w:t>Modelling approach and key assumptions</w:t>
      </w:r>
    </w:p>
    <w:p w:rsidR="00000000" w:rsidRDefault="00D35856">
      <w:pPr>
        <w:keepNext w:val="0"/>
      </w:pPr>
      <w:r>
        <w:t>For washing machines modelling occurs from financial year 2005/06 unt</w:t>
      </w:r>
      <w:r>
        <w:t>il 2020/21 and savings are calculated in accordance with Equation 1 below.</w:t>
      </w:r>
    </w:p>
    <w:p w:rsidR="00000000" w:rsidRDefault="00D35856">
      <w:pPr>
        <w:pStyle w:val="Caption"/>
        <w:keepNext w:val="0"/>
      </w:pPr>
    </w:p>
    <w:p w:rsidR="00000000" w:rsidRDefault="00D35856">
      <w:pPr>
        <w:pStyle w:val="Caption"/>
        <w:keepNext w:val="0"/>
        <w:rPr>
          <w:sz w:val="18"/>
          <w:szCs w:val="18"/>
        </w:rPr>
      </w:pPr>
      <w:r>
        <w:t xml:space="preserve">Savings due to </w:t>
      </w:r>
      <w:smartTag w:uri="urn:schemas-microsoft-com:office:smarttags" w:element="City">
        <w:r>
          <w:t>WELS</w:t>
        </w:r>
      </w:smartTag>
      <w:r>
        <w:t xml:space="preserve"> and other factors for Washing Machines(t) = </w:t>
      </w:r>
      <w:r>
        <w:br/>
      </w:r>
      <w:r>
        <w:tab/>
        <w:t>[Machine Sales</w:t>
      </w:r>
      <w:r>
        <w:rPr>
          <w:vertAlign w:val="subscript"/>
        </w:rPr>
        <w:t>NoWELS</w:t>
      </w:r>
      <w:r>
        <w:t>(t) ×Average Efficiency Per Wash</w:t>
      </w:r>
      <w:r>
        <w:rPr>
          <w:vertAlign w:val="subscript"/>
        </w:rPr>
        <w:t>NoWELS</w:t>
      </w:r>
      <w:r>
        <w:t>(t) × Washes Per Year</w:t>
      </w:r>
      <w:r>
        <w:rPr>
          <w:vertAlign w:val="subscript"/>
        </w:rPr>
        <w:t>NoWELS</w:t>
      </w:r>
      <w:r>
        <w:t xml:space="preserve">] – </w:t>
      </w:r>
      <w:r>
        <w:br/>
      </w:r>
      <w:r>
        <w:tab/>
        <w:t>[Machine Sales</w:t>
      </w:r>
      <w:r>
        <w:rPr>
          <w:vertAlign w:val="subscript"/>
        </w:rPr>
        <w:t>WELS</w:t>
      </w:r>
      <w:r>
        <w:t>(t) ×Average Efficiency</w:t>
      </w:r>
      <w:r>
        <w:rPr>
          <w:vertAlign w:val="subscript"/>
        </w:rPr>
        <w:t>WELS</w:t>
      </w:r>
      <w:r>
        <w:t>(t) × Washes Per Year</w:t>
      </w:r>
      <w:r>
        <w:rPr>
          <w:vertAlign w:val="subscript"/>
        </w:rPr>
        <w:t xml:space="preserve">WELS </w:t>
      </w:r>
      <w:r>
        <w:t xml:space="preserve">] </w:t>
      </w:r>
      <w:r>
        <w:rPr>
          <w:sz w:val="18"/>
          <w:szCs w:val="18"/>
        </w:rPr>
        <w:tab/>
      </w:r>
      <w:r>
        <w:t xml:space="preserve">Equation </w:t>
      </w:r>
      <w:r>
        <w:fldChar w:fldCharType="begin"/>
      </w:r>
      <w:r>
        <w:instrText xml:space="preserve"> SEQ Equation \* ARABIC </w:instrText>
      </w:r>
      <w:r>
        <w:fldChar w:fldCharType="separate"/>
      </w:r>
      <w:r>
        <w:rPr>
          <w:noProof/>
        </w:rPr>
        <w:t>1</w:t>
      </w:r>
      <w:r>
        <w:fldChar w:fldCharType="end"/>
      </w:r>
    </w:p>
    <w:p w:rsidR="00000000" w:rsidRDefault="00D35856">
      <w:pPr>
        <w:keepNext w:val="0"/>
        <w:tabs>
          <w:tab w:val="left" w:pos="284"/>
        </w:tabs>
        <w:rPr>
          <w:szCs w:val="22"/>
        </w:rPr>
      </w:pPr>
    </w:p>
    <w:p w:rsidR="00000000" w:rsidRDefault="00D35856">
      <w:pPr>
        <w:keepNext w:val="0"/>
        <w:tabs>
          <w:tab w:val="left" w:pos="284"/>
        </w:tabs>
        <w:rPr>
          <w:szCs w:val="22"/>
        </w:rPr>
      </w:pPr>
      <w:r>
        <w:rPr>
          <w:szCs w:val="22"/>
        </w:rPr>
        <w:t xml:space="preserve">The conceptual approach to modelling in the updated scenarios explored in this report and their relation to the original scenarios modelled in the RIS (George Wilkenfeld and Associates, 2004) are shown in </w:t>
      </w:r>
      <w:r>
        <w:rPr>
          <w:szCs w:val="22"/>
        </w:rPr>
        <w:fldChar w:fldCharType="begin"/>
      </w:r>
      <w:r>
        <w:rPr>
          <w:szCs w:val="22"/>
        </w:rPr>
        <w:instrText xml:space="preserve"> REF _Ref195515250 \h </w:instrText>
      </w:r>
      <w:r w:rsidR="00D87CE9">
        <w:rPr>
          <w:szCs w:val="22"/>
        </w:rPr>
      </w:r>
      <w:r>
        <w:rPr>
          <w:szCs w:val="22"/>
        </w:rPr>
        <w:fldChar w:fldCharType="separate"/>
      </w:r>
      <w:r>
        <w:t xml:space="preserve">Figure </w:t>
      </w:r>
      <w:r>
        <w:rPr>
          <w:noProof/>
        </w:rPr>
        <w:t>3</w:t>
      </w:r>
      <w:r>
        <w:noBreakHyphen/>
      </w:r>
      <w:r>
        <w:rPr>
          <w:noProof/>
        </w:rPr>
        <w:t>3</w:t>
      </w:r>
      <w:r>
        <w:rPr>
          <w:szCs w:val="22"/>
        </w:rPr>
        <w:fldChar w:fldCharType="end"/>
      </w:r>
      <w:r>
        <w:rPr>
          <w:szCs w:val="22"/>
        </w:rPr>
        <w:t>.</w:t>
      </w:r>
      <w:r>
        <w:t xml:space="preserve">  The 'Business as Usual' and 'With Labelling' scenarios have been updated to the two scenarios of </w:t>
      </w:r>
      <w:bookmarkStart w:id="64" w:name="_Ref187749012"/>
      <w:r>
        <w:t>'Without WELS' and 'With WELS'.</w:t>
      </w:r>
    </w:p>
    <w:p w:rsidR="00000000" w:rsidRDefault="00D35856">
      <w:pPr>
        <w:pStyle w:val="Caption"/>
        <w:keepNext w:val="0"/>
        <w:pageBreakBefore/>
      </w:pPr>
      <w:bookmarkStart w:id="65" w:name="_Ref195515250"/>
      <w:bookmarkStart w:id="66" w:name="_Toc191475254"/>
      <w:bookmarkStart w:id="67" w:name="_Toc199933817"/>
      <w:r>
        <w:lastRenderedPageBreak/>
        <w:t xml:space="preserve">Figure </w:t>
      </w:r>
      <w:r>
        <w:fldChar w:fldCharType="begin"/>
      </w:r>
      <w:r>
        <w:instrText xml:space="preserve"> STYLEREF 1 \s </w:instrText>
      </w:r>
      <w:r>
        <w:fldChar w:fldCharType="separate"/>
      </w:r>
      <w:r>
        <w:rPr>
          <w:noProof/>
        </w:rPr>
        <w:t>3</w:t>
      </w:r>
      <w:r>
        <w:fldChar w:fldCharType="end"/>
      </w:r>
      <w:r>
        <w:noBreakHyphen/>
      </w:r>
      <w:r>
        <w:fldChar w:fldCharType="begin"/>
      </w:r>
      <w:r>
        <w:instrText xml:space="preserve"> SEQ Figure \* ARABIC \s 1 </w:instrText>
      </w:r>
      <w:r>
        <w:fldChar w:fldCharType="separate"/>
      </w:r>
      <w:r>
        <w:rPr>
          <w:noProof/>
        </w:rPr>
        <w:t>3</w:t>
      </w:r>
      <w:r>
        <w:fldChar w:fldCharType="end"/>
      </w:r>
      <w:bookmarkEnd w:id="64"/>
      <w:bookmarkEnd w:id="65"/>
      <w:r>
        <w:t>: Conceptual modelling basis for RIS scenarios and updated scenarios</w:t>
      </w:r>
      <w:bookmarkEnd w:id="66"/>
      <w:bookmarkEnd w:id="67"/>
    </w:p>
    <w:p w:rsidR="00000000" w:rsidRDefault="00D35856">
      <w:pPr>
        <w:keepNext w:val="0"/>
      </w:pPr>
      <w:r>
        <w:rPr>
          <w:noProof/>
          <w:lang w:eastAsia="en-AU"/>
        </w:rPr>
        <w:drawing>
          <wp:inline distT="0" distB="0" distL="0" distR="0">
            <wp:extent cx="5486400" cy="1363980"/>
            <wp:effectExtent l="0" t="0" r="0" b="0"/>
            <wp:docPr id="10" name="Picture 10" descr="Fig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3-3"/>
                    <pic:cNvPicPr>
                      <a:picLocks noChangeAspect="1" noChangeArrowheads="1"/>
                    </pic:cNvPicPr>
                  </pic:nvPicPr>
                  <pic:blipFill>
                    <a:blip r:embed="rId23"/>
                    <a:srcRect/>
                    <a:stretch>
                      <a:fillRect/>
                    </a:stretch>
                  </pic:blipFill>
                  <pic:spPr bwMode="auto">
                    <a:xfrm>
                      <a:off x="0" y="0"/>
                      <a:ext cx="5486400" cy="1363980"/>
                    </a:xfrm>
                    <a:prstGeom prst="rect">
                      <a:avLst/>
                    </a:prstGeom>
                    <a:noFill/>
                    <a:ln w="9525">
                      <a:noFill/>
                      <a:miter lim="800000"/>
                      <a:headEnd/>
                      <a:tailEnd/>
                    </a:ln>
                  </pic:spPr>
                </pic:pic>
              </a:graphicData>
            </a:graphic>
          </wp:inline>
        </w:drawing>
      </w:r>
    </w:p>
    <w:p w:rsidR="00000000" w:rsidRDefault="00D35856">
      <w:pPr>
        <w:keepNext w:val="0"/>
      </w:pPr>
    </w:p>
    <w:p w:rsidR="00000000" w:rsidRDefault="00D35856">
      <w:r>
        <w:t>The estimates used fo</w:t>
      </w:r>
      <w:r>
        <w:t xml:space="preserve">r parameters in Equation 1 are detailed in </w:t>
      </w:r>
      <w:r>
        <w:fldChar w:fldCharType="begin"/>
      </w:r>
      <w:r>
        <w:instrText xml:space="preserve"> REF _Ref188086381 \h </w:instrText>
      </w:r>
      <w:r>
        <w:instrText xml:space="preserve"> \* MERGEFORMAT </w:instrText>
      </w:r>
      <w:r>
        <w:fldChar w:fldCharType="separate"/>
      </w:r>
    </w:p>
    <w:p w:rsidR="00000000" w:rsidRDefault="00D35856">
      <w:r>
        <w:rPr>
          <w:noProof/>
        </w:rPr>
        <w:t>Table 3</w:t>
      </w:r>
      <w:r>
        <w:rPr>
          <w:noProof/>
        </w:rPr>
        <w:noBreakHyphen/>
        <w:t>2</w:t>
      </w:r>
      <w:r>
        <w:fldChar w:fldCharType="end"/>
      </w:r>
      <w:r>
        <w:t xml:space="preserve"> and graphical representations of the time varying parameters are shown in </w:t>
      </w:r>
      <w:fldSimple w:instr=" REF _Ref187740616 \h  \* MERGEFORMAT ">
        <w:r>
          <w:t xml:space="preserve">Figure </w:t>
        </w:r>
        <w:r>
          <w:rPr>
            <w:noProof/>
          </w:rPr>
          <w:t>3</w:t>
        </w:r>
        <w:r>
          <w:rPr>
            <w:noProof/>
          </w:rPr>
          <w:noBreakHyphen/>
          <w:t>4</w:t>
        </w:r>
      </w:fldSimple>
      <w:r>
        <w:t>.</w:t>
      </w:r>
    </w:p>
    <w:p w:rsidR="00000000" w:rsidRDefault="00D35856">
      <w:pPr>
        <w:pStyle w:val="Caption"/>
        <w:keepNext w:val="0"/>
      </w:pPr>
      <w:bookmarkStart w:id="68" w:name="_Ref188086381"/>
    </w:p>
    <w:p w:rsidR="00000000" w:rsidRDefault="00D35856">
      <w:pPr>
        <w:pStyle w:val="Caption"/>
      </w:pPr>
      <w:bookmarkStart w:id="69" w:name="_Toc199933786"/>
      <w:r>
        <w:t xml:space="preserve">Table </w:t>
      </w:r>
      <w:r>
        <w:fldChar w:fldCharType="begin"/>
      </w:r>
      <w:r>
        <w:instrText xml:space="preserve"> STYLEREF 1 \s </w:instrText>
      </w:r>
      <w:r>
        <w:fldChar w:fldCharType="separate"/>
      </w:r>
      <w:r>
        <w:rPr>
          <w:noProof/>
        </w:rPr>
        <w:t>3</w:t>
      </w:r>
      <w:r>
        <w:fldChar w:fldCharType="end"/>
      </w:r>
      <w:r>
        <w:noBreakHyphen/>
      </w:r>
      <w:r>
        <w:fldChar w:fldCharType="begin"/>
      </w:r>
      <w:r>
        <w:instrText xml:space="preserve"> SEQ Table \* ARABIC \s 1 </w:instrText>
      </w:r>
      <w:r>
        <w:fldChar w:fldCharType="separate"/>
      </w:r>
      <w:r>
        <w:rPr>
          <w:noProof/>
        </w:rPr>
        <w:t>2</w:t>
      </w:r>
      <w:r>
        <w:fldChar w:fldCharType="end"/>
      </w:r>
      <w:bookmarkEnd w:id="68"/>
      <w:r>
        <w:t>: Washing machines – parameters used to model updated scenarios</w:t>
      </w:r>
      <w:bookmarkEnd w:id="69"/>
    </w:p>
    <w:tbl>
      <w:tblPr>
        <w:tblStyle w:val="TableGrid"/>
        <w:tblW w:w="8755" w:type="dxa"/>
        <w:tblLook w:val="01E0"/>
      </w:tblPr>
      <w:tblGrid>
        <w:gridCol w:w="1951"/>
        <w:gridCol w:w="1843"/>
        <w:gridCol w:w="4961"/>
      </w:tblGrid>
      <w:tr w:rsidR="00000000">
        <w:trPr>
          <w:trHeight w:val="282"/>
        </w:trPr>
        <w:tc>
          <w:tcPr>
            <w:tcW w:w="1951" w:type="dxa"/>
            <w:shd w:val="clear" w:color="auto" w:fill="CCCCCC"/>
          </w:tcPr>
          <w:p w:rsidR="00000000" w:rsidRDefault="00D35856">
            <w:pPr>
              <w:spacing w:after="0"/>
              <w:rPr>
                <w:rFonts w:ascii="Arial" w:hAnsi="Arial" w:cs="Arial"/>
                <w:b/>
                <w:sz w:val="20"/>
              </w:rPr>
            </w:pPr>
            <w:r>
              <w:rPr>
                <w:rFonts w:ascii="Arial" w:hAnsi="Arial" w:cs="Arial"/>
                <w:b/>
                <w:sz w:val="20"/>
              </w:rPr>
              <w:t xml:space="preserve">Parameters </w:t>
            </w:r>
          </w:p>
        </w:tc>
        <w:tc>
          <w:tcPr>
            <w:tcW w:w="1843" w:type="dxa"/>
            <w:shd w:val="clear" w:color="auto" w:fill="CCCCCC"/>
          </w:tcPr>
          <w:p w:rsidR="00000000" w:rsidRDefault="00D35856">
            <w:pPr>
              <w:spacing w:after="0"/>
              <w:jc w:val="center"/>
              <w:rPr>
                <w:rFonts w:ascii="Arial" w:hAnsi="Arial" w:cs="Arial"/>
                <w:b/>
                <w:sz w:val="20"/>
              </w:rPr>
            </w:pPr>
            <w:r>
              <w:rPr>
                <w:rFonts w:ascii="Arial" w:hAnsi="Arial" w:cs="Arial"/>
                <w:b/>
                <w:sz w:val="20"/>
              </w:rPr>
              <w:t>Sources</w:t>
            </w:r>
          </w:p>
        </w:tc>
        <w:tc>
          <w:tcPr>
            <w:tcW w:w="4961" w:type="dxa"/>
            <w:shd w:val="clear" w:color="auto" w:fill="CCCCCC"/>
          </w:tcPr>
          <w:p w:rsidR="00000000" w:rsidRDefault="00D35856">
            <w:pPr>
              <w:spacing w:after="0"/>
              <w:jc w:val="center"/>
              <w:rPr>
                <w:rFonts w:ascii="Arial" w:hAnsi="Arial" w:cs="Arial"/>
                <w:b/>
                <w:sz w:val="20"/>
              </w:rPr>
            </w:pPr>
            <w:r>
              <w:rPr>
                <w:rFonts w:ascii="Arial" w:hAnsi="Arial" w:cs="Arial"/>
                <w:b/>
                <w:sz w:val="20"/>
              </w:rPr>
              <w:t>Comment</w:t>
            </w:r>
          </w:p>
        </w:tc>
      </w:tr>
      <w:tr w:rsidR="00000000">
        <w:tc>
          <w:tcPr>
            <w:tcW w:w="1951" w:type="dxa"/>
          </w:tcPr>
          <w:p w:rsidR="00000000" w:rsidRDefault="00D35856">
            <w:pPr>
              <w:spacing w:after="0"/>
              <w:rPr>
                <w:rFonts w:ascii="Arial" w:hAnsi="Arial" w:cs="Arial"/>
                <w:sz w:val="18"/>
              </w:rPr>
            </w:pPr>
            <w:r>
              <w:rPr>
                <w:rFonts w:ascii="Arial" w:hAnsi="Arial" w:cs="Arial"/>
                <w:i/>
                <w:sz w:val="18"/>
                <w:szCs w:val="18"/>
              </w:rPr>
              <w:t>Machine Sales</w:t>
            </w:r>
            <w:r>
              <w:rPr>
                <w:rFonts w:ascii="Arial" w:hAnsi="Arial" w:cs="Arial"/>
                <w:i/>
                <w:sz w:val="18"/>
                <w:szCs w:val="18"/>
                <w:vertAlign w:val="subscript"/>
              </w:rPr>
              <w:t>NoWELS</w:t>
            </w:r>
            <w:r>
              <w:rPr>
                <w:rFonts w:ascii="Arial" w:hAnsi="Arial" w:cs="Arial"/>
                <w:i/>
                <w:sz w:val="18"/>
                <w:szCs w:val="18"/>
              </w:rPr>
              <w:t>(t)</w:t>
            </w:r>
          </w:p>
        </w:tc>
        <w:tc>
          <w:tcPr>
            <w:tcW w:w="1843" w:type="dxa"/>
          </w:tcPr>
          <w:p w:rsidR="00000000" w:rsidRDefault="00D35856">
            <w:pPr>
              <w:numPr>
                <w:ilvl w:val="1"/>
                <w:numId w:val="5"/>
              </w:numPr>
              <w:tabs>
                <w:tab w:val="clear" w:pos="1443"/>
                <w:tab w:val="num" w:pos="276"/>
              </w:tabs>
              <w:spacing w:after="0"/>
              <w:ind w:left="276" w:hanging="221"/>
              <w:rPr>
                <w:rFonts w:ascii="Arial" w:hAnsi="Arial" w:cs="Arial"/>
                <w:sz w:val="18"/>
              </w:rPr>
            </w:pPr>
            <w:r>
              <w:rPr>
                <w:rFonts w:ascii="Arial" w:hAnsi="Arial" w:cs="Arial"/>
                <w:sz w:val="18"/>
              </w:rPr>
              <w:t>RIS</w:t>
            </w:r>
          </w:p>
          <w:p w:rsidR="00000000" w:rsidRDefault="00D35856">
            <w:pPr>
              <w:numPr>
                <w:ilvl w:val="1"/>
                <w:numId w:val="5"/>
              </w:numPr>
              <w:tabs>
                <w:tab w:val="clear" w:pos="1443"/>
                <w:tab w:val="num" w:pos="276"/>
              </w:tabs>
              <w:spacing w:after="0"/>
              <w:ind w:left="276" w:hanging="221"/>
              <w:rPr>
                <w:rFonts w:ascii="Arial" w:hAnsi="Arial" w:cs="Arial"/>
                <w:sz w:val="18"/>
              </w:rPr>
            </w:pPr>
            <w:r>
              <w:rPr>
                <w:rFonts w:ascii="Arial" w:hAnsi="Arial" w:cs="Arial"/>
                <w:sz w:val="18"/>
              </w:rPr>
              <w:t>GfK recent data 2005 / 2006</w:t>
            </w:r>
          </w:p>
        </w:tc>
        <w:tc>
          <w:tcPr>
            <w:tcW w:w="4961" w:type="dxa"/>
          </w:tcPr>
          <w:p w:rsidR="00000000" w:rsidRDefault="00D35856">
            <w:pPr>
              <w:numPr>
                <w:ilvl w:val="1"/>
                <w:numId w:val="5"/>
              </w:numPr>
              <w:tabs>
                <w:tab w:val="clear" w:pos="1443"/>
                <w:tab w:val="num" w:pos="276"/>
              </w:tabs>
              <w:spacing w:after="0"/>
              <w:ind w:left="276" w:hanging="221"/>
              <w:rPr>
                <w:rFonts w:ascii="Arial" w:hAnsi="Arial" w:cs="Arial"/>
                <w:sz w:val="18"/>
              </w:rPr>
            </w:pPr>
            <w:r>
              <w:rPr>
                <w:rFonts w:ascii="Arial" w:hAnsi="Arial" w:cs="Arial"/>
                <w:sz w:val="18"/>
              </w:rPr>
              <w:t xml:space="preserve">Updated sales projections </w:t>
            </w:r>
            <w:r>
              <w:rPr>
                <w:rFonts w:ascii="Arial" w:hAnsi="Arial" w:cs="Arial"/>
                <w:sz w:val="18"/>
                <w:szCs w:val="18"/>
              </w:rPr>
              <w:t xml:space="preserve">to reflect recent sales </w:t>
            </w:r>
            <w:r>
              <w:rPr>
                <w:rFonts w:ascii="Arial" w:hAnsi="Arial" w:cs="Arial"/>
                <w:sz w:val="18"/>
              </w:rPr>
              <w:t xml:space="preserve">trends which are assumed to have been augmented have been augmented as a result of rebates / drought and which are assumed to return to levels predicted in RIS in long term which grows in line with household projections. </w:t>
            </w:r>
          </w:p>
          <w:p w:rsidR="00000000" w:rsidRDefault="00D35856">
            <w:pPr>
              <w:numPr>
                <w:ilvl w:val="1"/>
                <w:numId w:val="5"/>
              </w:numPr>
              <w:tabs>
                <w:tab w:val="clear" w:pos="1443"/>
                <w:tab w:val="num" w:pos="276"/>
              </w:tabs>
              <w:spacing w:after="0"/>
              <w:ind w:left="276" w:hanging="221"/>
              <w:rPr>
                <w:rFonts w:ascii="Arial" w:hAnsi="Arial" w:cs="Arial"/>
                <w:sz w:val="18"/>
              </w:rPr>
            </w:pPr>
            <w:r>
              <w:rPr>
                <w:rFonts w:ascii="Arial" w:hAnsi="Arial" w:cs="Arial"/>
                <w:sz w:val="18"/>
              </w:rPr>
              <w:t>Updated household projections ar</w:t>
            </w:r>
            <w:r>
              <w:rPr>
                <w:rFonts w:ascii="Arial" w:hAnsi="Arial" w:cs="Arial"/>
                <w:sz w:val="18"/>
              </w:rPr>
              <w:t>e not yet available from ABS for 2006+.</w:t>
            </w:r>
          </w:p>
          <w:p w:rsidR="00000000" w:rsidRDefault="00D35856">
            <w:pPr>
              <w:numPr>
                <w:ilvl w:val="1"/>
                <w:numId w:val="5"/>
              </w:numPr>
              <w:tabs>
                <w:tab w:val="clear" w:pos="1443"/>
                <w:tab w:val="num" w:pos="276"/>
              </w:tabs>
              <w:spacing w:after="0"/>
              <w:ind w:left="276" w:hanging="221"/>
              <w:rPr>
                <w:rFonts w:ascii="Arial" w:hAnsi="Arial" w:cs="Arial"/>
                <w:sz w:val="18"/>
              </w:rPr>
            </w:pPr>
            <w:r>
              <w:rPr>
                <w:rFonts w:ascii="Arial" w:hAnsi="Arial" w:cs="Arial"/>
                <w:sz w:val="18"/>
              </w:rPr>
              <w:t>Another possibility not modelled is that cheaper imported white goods may increase rate of sales in a continuing fashion in the longer term.</w:t>
            </w:r>
          </w:p>
        </w:tc>
      </w:tr>
      <w:tr w:rsidR="00000000">
        <w:tc>
          <w:tcPr>
            <w:tcW w:w="1951" w:type="dxa"/>
          </w:tcPr>
          <w:p w:rsidR="00000000" w:rsidRDefault="00D35856">
            <w:pPr>
              <w:keepNext w:val="0"/>
              <w:spacing w:after="0"/>
              <w:rPr>
                <w:rFonts w:ascii="Arial" w:hAnsi="Arial" w:cs="Arial"/>
                <w:sz w:val="18"/>
              </w:rPr>
            </w:pPr>
            <w:r>
              <w:rPr>
                <w:rFonts w:ascii="Arial" w:hAnsi="Arial" w:cs="Arial"/>
                <w:i/>
                <w:sz w:val="18"/>
                <w:szCs w:val="18"/>
              </w:rPr>
              <w:t>Machine Sales</w:t>
            </w:r>
            <w:r>
              <w:rPr>
                <w:rFonts w:ascii="Arial" w:hAnsi="Arial" w:cs="Arial"/>
                <w:i/>
                <w:sz w:val="18"/>
                <w:szCs w:val="18"/>
                <w:vertAlign w:val="subscript"/>
              </w:rPr>
              <w:t>WELS</w:t>
            </w:r>
            <w:r>
              <w:rPr>
                <w:rFonts w:ascii="Arial" w:hAnsi="Arial" w:cs="Arial"/>
                <w:i/>
                <w:sz w:val="18"/>
                <w:szCs w:val="18"/>
              </w:rPr>
              <w:t>(t)</w:t>
            </w:r>
          </w:p>
        </w:tc>
        <w:tc>
          <w:tcPr>
            <w:tcW w:w="1843" w:type="dxa"/>
          </w:tcPr>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RIS</w:t>
            </w:r>
          </w:p>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GfK recent data 2005 / 2006</w:t>
            </w:r>
          </w:p>
        </w:tc>
        <w:tc>
          <w:tcPr>
            <w:tcW w:w="4961" w:type="dxa"/>
          </w:tcPr>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 xml:space="preserve">Assumed to be same as </w:t>
            </w:r>
            <w:r>
              <w:rPr>
                <w:rFonts w:ascii="Arial" w:hAnsi="Arial" w:cs="Arial"/>
                <w:sz w:val="18"/>
              </w:rPr>
              <w:br/>
            </w:r>
            <w:r>
              <w:rPr>
                <w:rFonts w:ascii="Arial" w:hAnsi="Arial" w:cs="Arial"/>
                <w:sz w:val="18"/>
              </w:rPr>
              <w:tab/>
            </w:r>
            <w:r>
              <w:rPr>
                <w:rFonts w:ascii="Arial" w:hAnsi="Arial" w:cs="Arial"/>
                <w:i/>
                <w:sz w:val="18"/>
                <w:szCs w:val="18"/>
              </w:rPr>
              <w:t>Machine Sales</w:t>
            </w:r>
            <w:r>
              <w:rPr>
                <w:rFonts w:ascii="Arial" w:hAnsi="Arial" w:cs="Arial"/>
                <w:i/>
                <w:sz w:val="18"/>
                <w:szCs w:val="18"/>
                <w:vertAlign w:val="subscript"/>
              </w:rPr>
              <w:t>NoWELS</w:t>
            </w:r>
            <w:r>
              <w:rPr>
                <w:rFonts w:ascii="Arial" w:hAnsi="Arial" w:cs="Arial"/>
                <w:i/>
                <w:sz w:val="18"/>
                <w:szCs w:val="18"/>
              </w:rPr>
              <w:t>(t).</w:t>
            </w:r>
          </w:p>
        </w:tc>
      </w:tr>
      <w:tr w:rsidR="00000000">
        <w:tc>
          <w:tcPr>
            <w:tcW w:w="1951" w:type="dxa"/>
          </w:tcPr>
          <w:p w:rsidR="00000000" w:rsidRDefault="00D35856">
            <w:pPr>
              <w:keepNext w:val="0"/>
              <w:spacing w:after="0"/>
              <w:rPr>
                <w:rFonts w:ascii="Arial" w:hAnsi="Arial" w:cs="Arial"/>
                <w:sz w:val="18"/>
              </w:rPr>
            </w:pPr>
            <w:r>
              <w:rPr>
                <w:rFonts w:ascii="Arial" w:hAnsi="Arial" w:cs="Arial"/>
                <w:i/>
                <w:sz w:val="18"/>
                <w:szCs w:val="18"/>
              </w:rPr>
              <w:t>Average Efficiency</w:t>
            </w:r>
            <w:r>
              <w:rPr>
                <w:rFonts w:ascii="Arial" w:hAnsi="Arial" w:cs="Arial"/>
                <w:i/>
                <w:sz w:val="18"/>
                <w:szCs w:val="18"/>
                <w:vertAlign w:val="subscript"/>
              </w:rPr>
              <w:t>NoWELS</w:t>
            </w:r>
            <w:r>
              <w:rPr>
                <w:rFonts w:ascii="Arial" w:hAnsi="Arial" w:cs="Arial"/>
                <w:i/>
                <w:sz w:val="18"/>
                <w:szCs w:val="18"/>
              </w:rPr>
              <w:t>(t)</w:t>
            </w:r>
          </w:p>
        </w:tc>
        <w:tc>
          <w:tcPr>
            <w:tcW w:w="1843" w:type="dxa"/>
          </w:tcPr>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RIS</w:t>
            </w:r>
          </w:p>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GfK recent data 2005 / 2006</w:t>
            </w:r>
          </w:p>
        </w:tc>
        <w:tc>
          <w:tcPr>
            <w:tcW w:w="4961" w:type="dxa"/>
          </w:tcPr>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 xml:space="preserve">Efficiency is expressed as L/wash with updated trajectory shown in </w:t>
            </w:r>
            <w:fldSimple w:instr=" REF _Ref187740616 \h  \* MERGEFORMAT ">
              <w:r>
                <w:rPr>
                  <w:rFonts w:ascii="Arial" w:hAnsi="Arial" w:cs="Arial"/>
                  <w:sz w:val="18"/>
                  <w:szCs w:val="18"/>
                </w:rPr>
                <w:t xml:space="preserve">Figure </w:t>
              </w:r>
              <w:r>
                <w:rPr>
                  <w:rFonts w:ascii="Arial" w:hAnsi="Arial" w:cs="Arial"/>
                  <w:noProof/>
                  <w:sz w:val="18"/>
                  <w:szCs w:val="18"/>
                </w:rPr>
                <w:t>3</w:t>
              </w:r>
              <w:r>
                <w:rPr>
                  <w:rFonts w:ascii="Arial" w:hAnsi="Arial" w:cs="Arial"/>
                  <w:noProof/>
                  <w:sz w:val="18"/>
                  <w:szCs w:val="18"/>
                </w:rPr>
                <w:noBreakHyphen/>
                <w:t>4</w:t>
              </w:r>
            </w:fldSimple>
            <w:r>
              <w:rPr>
                <w:rFonts w:ascii="Arial" w:hAnsi="Arial" w:cs="Arial"/>
                <w:sz w:val="18"/>
                <w:szCs w:val="18"/>
              </w:rPr>
              <w:t xml:space="preserve"> assumed to continue recent trend and then incrementally progress toward a 4 star usage (72 L/wash) for a 7kg machine by 2021.</w:t>
            </w:r>
          </w:p>
        </w:tc>
      </w:tr>
      <w:tr w:rsidR="00000000">
        <w:tc>
          <w:tcPr>
            <w:tcW w:w="1951" w:type="dxa"/>
          </w:tcPr>
          <w:p w:rsidR="00000000" w:rsidRDefault="00D35856">
            <w:pPr>
              <w:keepNext w:val="0"/>
              <w:spacing w:after="0"/>
              <w:rPr>
                <w:rFonts w:ascii="Arial" w:hAnsi="Arial" w:cs="Arial"/>
                <w:sz w:val="18"/>
              </w:rPr>
            </w:pPr>
            <w:r>
              <w:rPr>
                <w:rFonts w:ascii="Arial" w:hAnsi="Arial" w:cs="Arial"/>
                <w:i/>
                <w:sz w:val="18"/>
                <w:szCs w:val="18"/>
              </w:rPr>
              <w:t>Average Efficiency</w:t>
            </w:r>
            <w:r>
              <w:rPr>
                <w:rFonts w:ascii="Arial" w:hAnsi="Arial" w:cs="Arial"/>
                <w:i/>
                <w:sz w:val="18"/>
                <w:szCs w:val="18"/>
                <w:vertAlign w:val="subscript"/>
              </w:rPr>
              <w:t>WELS</w:t>
            </w:r>
            <w:r>
              <w:rPr>
                <w:rFonts w:ascii="Arial" w:hAnsi="Arial" w:cs="Arial"/>
                <w:i/>
                <w:sz w:val="18"/>
                <w:szCs w:val="18"/>
              </w:rPr>
              <w:t>(t)</w:t>
            </w:r>
          </w:p>
        </w:tc>
        <w:tc>
          <w:tcPr>
            <w:tcW w:w="1843" w:type="dxa"/>
          </w:tcPr>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RIS</w:t>
            </w:r>
          </w:p>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GfK recent data 2005 / 2006</w:t>
            </w:r>
          </w:p>
        </w:tc>
        <w:tc>
          <w:tcPr>
            <w:tcW w:w="4961" w:type="dxa"/>
          </w:tcPr>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Efficiency is expressed</w:t>
            </w:r>
            <w:r>
              <w:rPr>
                <w:rFonts w:ascii="Arial" w:hAnsi="Arial" w:cs="Arial"/>
                <w:sz w:val="18"/>
              </w:rPr>
              <w:t xml:space="preserve"> as L/wash with updated trajectory shown in </w:t>
            </w:r>
            <w:fldSimple w:instr=" REF _Ref187740616 \h  \* MERGEFORMAT ">
              <w:r>
                <w:rPr>
                  <w:rFonts w:ascii="Arial" w:hAnsi="Arial" w:cs="Arial"/>
                  <w:sz w:val="18"/>
                  <w:szCs w:val="18"/>
                </w:rPr>
                <w:t xml:space="preserve">Figure </w:t>
              </w:r>
              <w:r>
                <w:rPr>
                  <w:rFonts w:ascii="Arial" w:hAnsi="Arial" w:cs="Arial"/>
                  <w:noProof/>
                  <w:sz w:val="18"/>
                  <w:szCs w:val="18"/>
                </w:rPr>
                <w:t>3</w:t>
              </w:r>
              <w:r>
                <w:rPr>
                  <w:rFonts w:ascii="Arial" w:hAnsi="Arial" w:cs="Arial"/>
                  <w:noProof/>
                  <w:sz w:val="18"/>
                  <w:szCs w:val="18"/>
                </w:rPr>
                <w:noBreakHyphen/>
                <w:t>4</w:t>
              </w:r>
            </w:fldSimple>
            <w:r>
              <w:rPr>
                <w:rFonts w:ascii="Arial" w:hAnsi="Arial" w:cs="Arial"/>
                <w:sz w:val="18"/>
                <w:szCs w:val="18"/>
              </w:rPr>
              <w:t xml:space="preserve"> as</w:t>
            </w:r>
            <w:r>
              <w:rPr>
                <w:rFonts w:ascii="Arial" w:hAnsi="Arial" w:cs="Arial"/>
                <w:sz w:val="18"/>
                <w:szCs w:val="18"/>
              </w:rPr>
              <w:t xml:space="preserve">sumed to continue recent trend with more substantial improvements continuing in new few years whilst rebates are anticipated to continue to be offered and drought might and then incrementally progress toward a 5 star usage (51 L/wash) for a 7kg machine by </w:t>
            </w:r>
            <w:r>
              <w:rPr>
                <w:rFonts w:ascii="Arial" w:hAnsi="Arial" w:cs="Arial"/>
                <w:sz w:val="18"/>
                <w:szCs w:val="18"/>
              </w:rPr>
              <w:t>2021.</w:t>
            </w:r>
          </w:p>
        </w:tc>
      </w:tr>
      <w:tr w:rsidR="00000000">
        <w:tc>
          <w:tcPr>
            <w:tcW w:w="1951" w:type="dxa"/>
          </w:tcPr>
          <w:p w:rsidR="00000000" w:rsidRDefault="00D35856">
            <w:pPr>
              <w:keepNext w:val="0"/>
              <w:spacing w:after="0"/>
              <w:rPr>
                <w:rFonts w:ascii="Arial" w:hAnsi="Arial" w:cs="Arial"/>
                <w:i/>
                <w:sz w:val="18"/>
                <w:szCs w:val="18"/>
              </w:rPr>
            </w:pPr>
            <w:r>
              <w:rPr>
                <w:rFonts w:ascii="Arial" w:hAnsi="Arial" w:cs="Arial"/>
                <w:i/>
                <w:sz w:val="18"/>
                <w:szCs w:val="18"/>
              </w:rPr>
              <w:t>Washes Per Year</w:t>
            </w:r>
            <w:r>
              <w:rPr>
                <w:rFonts w:ascii="Arial" w:hAnsi="Arial" w:cs="Arial"/>
                <w:i/>
                <w:sz w:val="18"/>
                <w:szCs w:val="18"/>
                <w:vertAlign w:val="subscript"/>
              </w:rPr>
              <w:t xml:space="preserve">NoWELS / </w:t>
            </w:r>
            <w:smartTag w:uri="urn:schemas-microsoft-com:office:smarttags" w:element="City">
              <w:r>
                <w:rPr>
                  <w:rFonts w:ascii="Arial" w:hAnsi="Arial" w:cs="Arial"/>
                  <w:i/>
                  <w:sz w:val="18"/>
                  <w:szCs w:val="18"/>
                  <w:vertAlign w:val="subscript"/>
                </w:rPr>
                <w:t>WELS</w:t>
              </w:r>
            </w:smartTag>
          </w:p>
        </w:tc>
        <w:tc>
          <w:tcPr>
            <w:tcW w:w="1843" w:type="dxa"/>
          </w:tcPr>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Roberts, 2004</w:t>
            </w:r>
          </w:p>
        </w:tc>
        <w:tc>
          <w:tcPr>
            <w:tcW w:w="4961" w:type="dxa"/>
          </w:tcPr>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208.8 per year.</w:t>
            </w:r>
          </w:p>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 xml:space="preserve">N.B. Same for No </w:t>
            </w:r>
            <w:smartTag w:uri="urn:schemas-microsoft-com:office:smarttags" w:element="City">
              <w:r>
                <w:rPr>
                  <w:rFonts w:ascii="Arial" w:hAnsi="Arial" w:cs="Arial"/>
                  <w:sz w:val="18"/>
                </w:rPr>
                <w:t>WELS</w:t>
              </w:r>
            </w:smartTag>
            <w:r>
              <w:rPr>
                <w:rFonts w:ascii="Arial" w:hAnsi="Arial" w:cs="Arial"/>
                <w:sz w:val="18"/>
              </w:rPr>
              <w:t xml:space="preserve"> / </w:t>
            </w:r>
            <w:smartTag w:uri="urn:schemas-microsoft-com:office:smarttags" w:element="City">
              <w:r>
                <w:rPr>
                  <w:rFonts w:ascii="Arial" w:hAnsi="Arial" w:cs="Arial"/>
                  <w:sz w:val="18"/>
                </w:rPr>
                <w:t>WELS</w:t>
              </w:r>
            </w:smartTag>
            <w:r>
              <w:rPr>
                <w:rFonts w:ascii="Arial" w:hAnsi="Arial" w:cs="Arial"/>
                <w:sz w:val="18"/>
              </w:rPr>
              <w:t>.</w:t>
            </w:r>
          </w:p>
        </w:tc>
      </w:tr>
    </w:tbl>
    <w:p w:rsidR="00000000" w:rsidRDefault="00D35856">
      <w:pPr>
        <w:keepNext w:val="0"/>
      </w:pPr>
    </w:p>
    <w:p w:rsidR="00000000" w:rsidRDefault="00D35856">
      <w:pPr>
        <w:keepNext w:val="0"/>
      </w:pPr>
      <w:fldSimple w:instr=" REF _Ref187740616 \h  \* MERGEFORMAT ">
        <w:r>
          <w:t xml:space="preserve">Figure </w:t>
        </w:r>
        <w:r>
          <w:rPr>
            <w:noProof/>
          </w:rPr>
          <w:t>3</w:t>
        </w:r>
        <w:r>
          <w:rPr>
            <w:noProof/>
          </w:rPr>
          <w:noBreakHyphen/>
          <w:t>4</w:t>
        </w:r>
      </w:fldSimple>
      <w:r>
        <w:t xml:space="preserve"> shows the change in water efficiency, for top loading and front loading machines, as a result of </w:t>
      </w:r>
      <w:smartTag w:uri="urn:schemas-microsoft-com:office:smarttags" w:element="City">
        <w:r>
          <w:t>WELS</w:t>
        </w:r>
      </w:smartTag>
      <w:r>
        <w:t xml:space="preserve">. As anticipated, </w:t>
      </w:r>
      <w:smartTag w:uri="urn:schemas-microsoft-com:office:smarttags" w:element="City">
        <w:r>
          <w:t>WELS</w:t>
        </w:r>
      </w:smartTag>
      <w:r>
        <w:t xml:space="preserve"> results in an increase</w:t>
      </w:r>
      <w:r>
        <w:t xml:space="preserve"> in efficiency as a result of increasing sales of efficient models. The increase in sales of efficient products would happen in the business as usual scenario. This means that although </w:t>
      </w:r>
      <w:smartTag w:uri="urn:schemas-microsoft-com:office:smarttags" w:element="City">
        <w:r>
          <w:t>WELS</w:t>
        </w:r>
      </w:smartTag>
      <w:r>
        <w:t xml:space="preserve"> plays a significant role in reducing water use, a number o</w:t>
      </w:r>
      <w:r>
        <w:t xml:space="preserve">f other factors at play (including rebates, building regulations and technological improvements) are also reducing water use. </w:t>
      </w:r>
    </w:p>
    <w:p w:rsidR="00000000" w:rsidRDefault="00D35856">
      <w:pPr>
        <w:keepNext w:val="0"/>
      </w:pPr>
      <w:r>
        <w:lastRenderedPageBreak/>
        <w:t>Another feature of the reductions in water consumption is that top loading machines are increasing in efficiency at a much faster</w:t>
      </w:r>
      <w:r>
        <w:t xml:space="preserve"> rate than front loading machines. This is a result of the average top loading washing machine currently being much less efficient than the average front loading machine. In order to increase efficiency, customers are switching to front loading models and </w:t>
      </w:r>
      <w:r>
        <w:t>more efficient top loading models. This results in significant improvements in the average top loading efficiency (because of a shift to more efficient models) but less significant improvements for front loaders that are already situated at the high end of</w:t>
      </w:r>
      <w:r>
        <w:t xml:space="preserve"> the </w:t>
      </w:r>
      <w:smartTag w:uri="urn:schemas-microsoft-com:office:smarttags" w:element="City">
        <w:r>
          <w:t>WELS</w:t>
        </w:r>
      </w:smartTag>
      <w:r>
        <w:t xml:space="preserve"> rating scale.</w:t>
      </w:r>
    </w:p>
    <w:p w:rsidR="00000000" w:rsidRDefault="00D35856">
      <w:pPr>
        <w:keepNext w:val="0"/>
      </w:pPr>
      <w:r>
        <w:t>The results of water efficiency projections in this project were based on data as recent as 2005 and 2006. The results of a previous study which was based on data up to 2003 are shown in comparison. This comparison shows tha</w:t>
      </w:r>
      <w:r>
        <w:t xml:space="preserve">t the average water consumption of models is now more optimistic than on the previous study, resulting from recent indications that the market is shifting to higher efficiency machines more rapidly than previously expected. </w:t>
      </w:r>
    </w:p>
    <w:p w:rsidR="00000000" w:rsidRDefault="00D35856">
      <w:pPr>
        <w:keepNext w:val="0"/>
      </w:pPr>
    </w:p>
    <w:p w:rsidR="00000000" w:rsidRDefault="00D35856">
      <w:pPr>
        <w:pStyle w:val="Caption"/>
      </w:pPr>
      <w:bookmarkStart w:id="70" w:name="_Ref187740616"/>
      <w:bookmarkStart w:id="71" w:name="_Toc191475255"/>
      <w:bookmarkStart w:id="72" w:name="_Toc199933818"/>
      <w:r>
        <w:t xml:space="preserve">Figure </w:t>
      </w:r>
      <w:r>
        <w:fldChar w:fldCharType="begin"/>
      </w:r>
      <w:r>
        <w:instrText xml:space="preserve"> STYLEREF 1 \s </w:instrText>
      </w:r>
      <w:r>
        <w:fldChar w:fldCharType="separate"/>
      </w:r>
      <w:r>
        <w:rPr>
          <w:noProof/>
        </w:rPr>
        <w:t>3</w:t>
      </w:r>
      <w:r>
        <w:fldChar w:fldCharType="end"/>
      </w:r>
      <w:r>
        <w:noBreakHyphen/>
      </w:r>
      <w:r>
        <w:fldChar w:fldCharType="begin"/>
      </w:r>
      <w:r>
        <w:instrText xml:space="preserve"> SEQ Figure \* ARABIC \s 1 </w:instrText>
      </w:r>
      <w:r>
        <w:fldChar w:fldCharType="separate"/>
      </w:r>
      <w:r>
        <w:rPr>
          <w:noProof/>
        </w:rPr>
        <w:t>4</w:t>
      </w:r>
      <w:r>
        <w:fldChar w:fldCharType="end"/>
      </w:r>
      <w:bookmarkEnd w:id="70"/>
      <w:r>
        <w:t xml:space="preserve">: Average water consumption per wash (7 kg load) showing reductions from </w:t>
      </w:r>
      <w:smartTag w:uri="urn:schemas-microsoft-com:office:smarttags" w:element="City">
        <w:r>
          <w:t>WELS</w:t>
        </w:r>
      </w:smartTag>
      <w:r>
        <w:t xml:space="preserve"> compared with BAU scenario</w:t>
      </w:r>
      <w:bookmarkEnd w:id="71"/>
      <w:bookmarkEnd w:id="72"/>
    </w:p>
    <w:p w:rsidR="00000000" w:rsidRDefault="00D35856">
      <w:r>
        <w:rPr>
          <w:noProof/>
          <w:lang w:eastAsia="en-AU"/>
        </w:rPr>
        <w:drawing>
          <wp:inline distT="0" distB="0" distL="0" distR="0">
            <wp:extent cx="5379720" cy="3261360"/>
            <wp:effectExtent l="19050" t="0" r="0" b="0"/>
            <wp:docPr id="11" name="Picture 11" descr="Fig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3-4"/>
                    <pic:cNvPicPr>
                      <a:picLocks noChangeAspect="1" noChangeArrowheads="1"/>
                    </pic:cNvPicPr>
                  </pic:nvPicPr>
                  <pic:blipFill>
                    <a:blip r:embed="rId24"/>
                    <a:srcRect/>
                    <a:stretch>
                      <a:fillRect/>
                    </a:stretch>
                  </pic:blipFill>
                  <pic:spPr bwMode="auto">
                    <a:xfrm>
                      <a:off x="0" y="0"/>
                      <a:ext cx="5379720" cy="3261360"/>
                    </a:xfrm>
                    <a:prstGeom prst="rect">
                      <a:avLst/>
                    </a:prstGeom>
                    <a:noFill/>
                    <a:ln w="9525">
                      <a:noFill/>
                      <a:miter lim="800000"/>
                      <a:headEnd/>
                      <a:tailEnd/>
                    </a:ln>
                  </pic:spPr>
                </pic:pic>
              </a:graphicData>
            </a:graphic>
          </wp:inline>
        </w:drawing>
      </w:r>
    </w:p>
    <w:p w:rsidR="00000000" w:rsidRDefault="00D35856">
      <w:pPr>
        <w:pStyle w:val="Caption"/>
        <w:keepNext w:val="0"/>
        <w:pageBreakBefore/>
      </w:pPr>
      <w:r>
        <w:lastRenderedPageBreak/>
        <w:t xml:space="preserve">Figure </w:t>
      </w:r>
      <w:r>
        <w:fldChar w:fldCharType="begin"/>
      </w:r>
      <w:r>
        <w:instrText xml:space="preserve"> STYLEREF 1 \s </w:instrText>
      </w:r>
      <w:r>
        <w:fldChar w:fldCharType="separate"/>
      </w:r>
      <w:r>
        <w:rPr>
          <w:noProof/>
        </w:rPr>
        <w:t>3</w:t>
      </w:r>
      <w:r>
        <w:fldChar w:fldCharType="end"/>
      </w:r>
      <w:r>
        <w:noBreakHyphen/>
        <w:t xml:space="preserve">5: Water consumption per wash (7 kg load) showing the difference between the projections in the RIS (George </w:t>
      </w:r>
      <w:r>
        <w:rPr>
          <w:szCs w:val="22"/>
        </w:rPr>
        <w:t xml:space="preserve">Wilkenfeld and Associates </w:t>
      </w:r>
      <w:r>
        <w:t>2004) and recent projections using updated data point</w:t>
      </w:r>
      <w:r>
        <w:t xml:space="preserve">s. </w:t>
      </w:r>
    </w:p>
    <w:p w:rsidR="00000000" w:rsidRDefault="00D35856">
      <w:pPr>
        <w:keepNext w:val="0"/>
      </w:pPr>
      <w:r>
        <w:rPr>
          <w:noProof/>
          <w:lang w:eastAsia="en-AU"/>
        </w:rPr>
        <w:drawing>
          <wp:inline distT="0" distB="0" distL="0" distR="0">
            <wp:extent cx="5387340" cy="3284220"/>
            <wp:effectExtent l="19050" t="0" r="3810" b="0"/>
            <wp:docPr id="12" name="Picture 12" descr="Fig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 3-5"/>
                    <pic:cNvPicPr>
                      <a:picLocks noChangeAspect="1" noChangeArrowheads="1"/>
                    </pic:cNvPicPr>
                  </pic:nvPicPr>
                  <pic:blipFill>
                    <a:blip r:embed="rId25"/>
                    <a:srcRect/>
                    <a:stretch>
                      <a:fillRect/>
                    </a:stretch>
                  </pic:blipFill>
                  <pic:spPr bwMode="auto">
                    <a:xfrm>
                      <a:off x="0" y="0"/>
                      <a:ext cx="5387340" cy="3284220"/>
                    </a:xfrm>
                    <a:prstGeom prst="rect">
                      <a:avLst/>
                    </a:prstGeom>
                    <a:noFill/>
                    <a:ln w="9525">
                      <a:noFill/>
                      <a:miter lim="800000"/>
                      <a:headEnd/>
                      <a:tailEnd/>
                    </a:ln>
                  </pic:spPr>
                </pic:pic>
              </a:graphicData>
            </a:graphic>
          </wp:inline>
        </w:drawing>
      </w:r>
    </w:p>
    <w:p w:rsidR="00000000" w:rsidRDefault="00D35856">
      <w:pPr>
        <w:pStyle w:val="Heading4"/>
        <w:keepNext w:val="0"/>
        <w:rPr>
          <w:color w:val="auto"/>
        </w:rPr>
      </w:pPr>
    </w:p>
    <w:p w:rsidR="00000000" w:rsidRDefault="00D35856">
      <w:pPr>
        <w:pStyle w:val="Heading4"/>
        <w:keepNext w:val="0"/>
        <w:rPr>
          <w:color w:val="auto"/>
        </w:rPr>
      </w:pPr>
      <w:r>
        <w:rPr>
          <w:color w:val="auto"/>
        </w:rPr>
        <w:t>Confounding Factors</w:t>
      </w:r>
    </w:p>
    <w:p w:rsidR="00000000" w:rsidRDefault="00D35856">
      <w:pPr>
        <w:keepNext w:val="0"/>
      </w:pPr>
      <w:r>
        <w:t xml:space="preserve">There are a range of other factors that are operating to produce water savings from washing machines, and these factors therefore may limit the water savings attributable to </w:t>
      </w:r>
      <w:smartTag w:uri="urn:schemas-microsoft-com:office:smarttags" w:element="City">
        <w:r>
          <w:t>WELS</w:t>
        </w:r>
      </w:smartTag>
      <w:r>
        <w:t>.</w:t>
      </w:r>
    </w:p>
    <w:p w:rsidR="00000000" w:rsidRDefault="00D35856">
      <w:pPr>
        <w:keepNext w:val="0"/>
      </w:pPr>
      <w:r>
        <w:t>The most significant of these are rebates, which have been a key fac</w:t>
      </w:r>
      <w:r>
        <w:t xml:space="preserve">tor driving the increased uptake of efficient machines in many areas. Stakeholders interviewed for this study reflected that in </w:t>
      </w:r>
      <w:smartTag w:uri="urn:schemas-microsoft-com:office:smarttags" w:element="City">
        <w:r>
          <w:t>Western Australia</w:t>
        </w:r>
      </w:smartTag>
      <w:r>
        <w:t>, recently introduced rebates on 4.5 Star washing machines will drive up demand for these machines sign</w:t>
      </w:r>
      <w:r>
        <w:t xml:space="preserve">ificantly. </w:t>
      </w:r>
    </w:p>
    <w:p w:rsidR="00000000" w:rsidRDefault="00D35856">
      <w:pPr>
        <w:keepNext w:val="0"/>
      </w:pPr>
      <w:r>
        <w:t xml:space="preserve">However, in </w:t>
      </w:r>
      <w:smartTag w:uri="urn:schemas-microsoft-com:office:smarttags" w:element="City">
        <w:r>
          <w:t>Victoria</w:t>
        </w:r>
      </w:smartTag>
      <w:r>
        <w:t xml:space="preserve"> rebates on washing machines only existed for a short period (approximately 2 months) but there has also been a significant increase in the sales of washing machines in this jurisdiction. It is expected that an incre</w:t>
      </w:r>
      <w:r>
        <w:t xml:space="preserve">ased water efficiency ethic resulting from the drought and restrictions is largely responsible for the large uptake of machines. </w:t>
      </w:r>
    </w:p>
    <w:p w:rsidR="00000000" w:rsidRDefault="00D35856">
      <w:pPr>
        <w:keepNext w:val="0"/>
        <w:rPr>
          <w:szCs w:val="22"/>
        </w:rPr>
      </w:pPr>
      <w:r>
        <w:t xml:space="preserve">In other areas, the drought may also have had a significant impact upon the uptake of efficient machines. Two </w:t>
      </w:r>
      <w:r>
        <w:rPr>
          <w:szCs w:val="22"/>
        </w:rPr>
        <w:t>examples are giv</w:t>
      </w:r>
      <w:r>
        <w:rPr>
          <w:szCs w:val="22"/>
        </w:rPr>
        <w:t xml:space="preserve">en below: </w:t>
      </w:r>
    </w:p>
    <w:p w:rsidR="00000000" w:rsidRDefault="00D35856">
      <w:pPr>
        <w:keepNext w:val="0"/>
        <w:numPr>
          <w:ilvl w:val="0"/>
          <w:numId w:val="19"/>
        </w:numPr>
        <w:rPr>
          <w:szCs w:val="22"/>
        </w:rPr>
      </w:pPr>
      <w:smartTag w:uri="urn:schemas-microsoft-com:office:smarttags" w:element="City">
        <w:smartTag w:uri="urn:schemas-microsoft-com:office:smarttags" w:element="City">
          <w:r>
            <w:rPr>
              <w:szCs w:val="22"/>
            </w:rPr>
            <w:t>Geelong</w:t>
          </w:r>
        </w:smartTag>
        <w:r>
          <w:rPr>
            <w:szCs w:val="22"/>
          </w:rPr>
          <w:t xml:space="preserve">, </w:t>
        </w:r>
        <w:smartTag w:uri="urn:schemas-microsoft-com:office:smarttags" w:element="City">
          <w:r>
            <w:rPr>
              <w:szCs w:val="22"/>
            </w:rPr>
            <w:t>Victoria</w:t>
          </w:r>
        </w:smartTag>
      </w:smartTag>
      <w:r>
        <w:rPr>
          <w:szCs w:val="22"/>
        </w:rPr>
        <w:t xml:space="preserve"> - A </w:t>
      </w:r>
      <w:r>
        <w:rPr>
          <w:rFonts w:cs="Arial"/>
          <w:szCs w:val="22"/>
        </w:rPr>
        <w:t xml:space="preserve">complete outdoor water ban from December 2005 to October 2007 meant that utilising grey water from washing machines was one of the main ways people could still keep their garden alive decreasing the uptake of </w:t>
      </w:r>
      <w:r>
        <w:rPr>
          <w:rFonts w:cs="Arial"/>
          <w:szCs w:val="22"/>
        </w:rPr>
        <w:t>water efficient machines in this area, also no rebate was offered.</w:t>
      </w:r>
      <w:r>
        <w:rPr>
          <w:rStyle w:val="FootnoteReference"/>
          <w:rFonts w:cs="Arial"/>
          <w:szCs w:val="22"/>
        </w:rPr>
        <w:footnoteReference w:id="4"/>
      </w:r>
    </w:p>
    <w:p w:rsidR="00000000" w:rsidRDefault="00D35856">
      <w:pPr>
        <w:keepNext w:val="0"/>
        <w:numPr>
          <w:ilvl w:val="0"/>
          <w:numId w:val="19"/>
        </w:numPr>
        <w:rPr>
          <w:szCs w:val="22"/>
        </w:rPr>
      </w:pPr>
      <w:smartTag w:uri="urn:schemas-microsoft-com:office:smarttags" w:element="City">
        <w:smartTag w:uri="urn:schemas-microsoft-com:office:smarttags" w:element="City">
          <w:r>
            <w:rPr>
              <w:rFonts w:cs="Arial"/>
              <w:szCs w:val="22"/>
            </w:rPr>
            <w:lastRenderedPageBreak/>
            <w:t>Hobart</w:t>
          </w:r>
        </w:smartTag>
        <w:r>
          <w:rPr>
            <w:rFonts w:cs="Arial"/>
            <w:szCs w:val="22"/>
          </w:rPr>
          <w:t xml:space="preserve">, </w:t>
        </w:r>
        <w:smartTag w:uri="urn:schemas-microsoft-com:office:smarttags" w:element="City">
          <w:r>
            <w:rPr>
              <w:rFonts w:cs="Arial"/>
              <w:szCs w:val="22"/>
            </w:rPr>
            <w:t>Tasmania</w:t>
          </w:r>
        </w:smartTag>
      </w:smartTag>
      <w:r>
        <w:rPr>
          <w:rFonts w:cs="Arial"/>
          <w:szCs w:val="22"/>
        </w:rPr>
        <w:t xml:space="preserve"> - Hobart is not in restrictions but has rebate of $105 for installing a 4</w:t>
      </w:r>
      <w:r>
        <w:rPr>
          <w:rFonts w:cs="Arial"/>
          <w:szCs w:val="22"/>
        </w:rPr>
        <w:noBreakHyphen/>
        <w:t>star or better machine. Rebate uptake was mu</w:t>
      </w:r>
      <w:r>
        <w:rPr>
          <w:rFonts w:cs="Arial"/>
          <w:szCs w:val="22"/>
        </w:rPr>
        <w:t xml:space="preserve">ch greater than expected with the annual quota being allocated within three months. Awareness of drought in other parts of </w:t>
      </w:r>
      <w:smartTag w:uri="urn:schemas-microsoft-com:office:smarttags" w:element="City">
        <w:r>
          <w:rPr>
            <w:rFonts w:cs="Arial"/>
            <w:szCs w:val="22"/>
          </w:rPr>
          <w:t>Australia</w:t>
        </w:r>
      </w:smartTag>
      <w:r>
        <w:rPr>
          <w:rFonts w:cs="Arial"/>
          <w:szCs w:val="22"/>
        </w:rPr>
        <w:t xml:space="preserve"> - particularly through gardening and home lifestyle TV programs - was thought to have promoted awareness and uptake in </w:t>
      </w:r>
      <w:smartTag w:uri="urn:schemas-microsoft-com:office:smarttags" w:element="City">
        <w:r>
          <w:rPr>
            <w:rFonts w:cs="Arial"/>
            <w:szCs w:val="22"/>
          </w:rPr>
          <w:t>Hobart</w:t>
        </w:r>
      </w:smartTag>
      <w:r>
        <w:rPr>
          <w:rFonts w:cs="Arial"/>
          <w:szCs w:val="22"/>
        </w:rPr>
        <w:t>.</w:t>
      </w:r>
      <w:r>
        <w:rPr>
          <w:rStyle w:val="FootnoteReference"/>
          <w:rFonts w:cs="Arial"/>
          <w:szCs w:val="22"/>
        </w:rPr>
        <w:footnoteReference w:id="5"/>
      </w:r>
    </w:p>
    <w:p w:rsidR="00000000" w:rsidRDefault="00D35856">
      <w:pPr>
        <w:keepNext w:val="0"/>
      </w:pPr>
      <w:r>
        <w:t>Additionally, building regulations may also be having an impact upon the uptake of water efficient washing machines. Although in many areas the building regulations do not include washing machines (b</w:t>
      </w:r>
      <w:r>
        <w:t xml:space="preserve">ecause they can be removed or replaced with changing owners) in NSW washing machines in apartments can be included in assessment of water efficiency to meet BASIX targets. </w:t>
      </w:r>
    </w:p>
    <w:p w:rsidR="00000000" w:rsidRDefault="00D35856">
      <w:pPr>
        <w:pStyle w:val="Heading3"/>
        <w:keepNext w:val="0"/>
        <w:numPr>
          <w:ilvl w:val="2"/>
          <w:numId w:val="3"/>
        </w:numPr>
        <w:tabs>
          <w:tab w:val="clear" w:pos="1440"/>
        </w:tabs>
        <w:ind w:left="851" w:hanging="851"/>
        <w:rPr>
          <w:color w:val="auto"/>
        </w:rPr>
      </w:pPr>
      <w:bookmarkStart w:id="73" w:name="_Toc190583787"/>
      <w:bookmarkStart w:id="74" w:name="_Toc191452229"/>
      <w:bookmarkStart w:id="75" w:name="_Toc199933739"/>
      <w:r>
        <w:rPr>
          <w:color w:val="auto"/>
        </w:rPr>
        <w:t>Dishwashers</w:t>
      </w:r>
      <w:bookmarkEnd w:id="73"/>
      <w:bookmarkEnd w:id="74"/>
      <w:bookmarkEnd w:id="75"/>
    </w:p>
    <w:p w:rsidR="00000000" w:rsidRDefault="00D35856">
      <w:pPr>
        <w:keepNext w:val="0"/>
      </w:pPr>
      <w:r>
        <w:t xml:space="preserve">Comprehensive sales data are also collected for dishwashers. However as shown earlier in </w:t>
      </w:r>
      <w:fldSimple w:instr=" REF _Ref187753136 \h  \* MERGEFORMAT ">
        <w:r>
          <w:t xml:space="preserve">Figure </w:t>
        </w:r>
        <w:r>
          <w:rPr>
            <w:noProof/>
          </w:rPr>
          <w:t>3</w:t>
        </w:r>
        <w:r>
          <w:rPr>
            <w:noProof/>
          </w:rPr>
          <w:noBreakHyphen/>
          <w:t>2</w:t>
        </w:r>
      </w:fldSimple>
      <w:r>
        <w:t>, their usage of water in the home is l</w:t>
      </w:r>
      <w:r>
        <w:t xml:space="preserve">ower than for showers, toilets and washing machines and their contribution to commercial consumption is assumed minimal. </w:t>
      </w:r>
    </w:p>
    <w:p w:rsidR="00000000" w:rsidRDefault="00D35856">
      <w:pPr>
        <w:pStyle w:val="Heading4"/>
        <w:keepNext w:val="0"/>
        <w:rPr>
          <w:color w:val="auto"/>
        </w:rPr>
      </w:pPr>
      <w:r>
        <w:rPr>
          <w:color w:val="auto"/>
        </w:rPr>
        <w:t>Available Data Sources</w:t>
      </w:r>
    </w:p>
    <w:p w:rsidR="00000000" w:rsidRDefault="00D35856">
      <w:pPr>
        <w:pStyle w:val="Caption"/>
        <w:keepNext w:val="0"/>
      </w:pPr>
      <w:bookmarkStart w:id="76" w:name="_Toc199933787"/>
      <w:r>
        <w:t xml:space="preserve">Table </w:t>
      </w:r>
      <w:r>
        <w:fldChar w:fldCharType="begin"/>
      </w:r>
      <w:r>
        <w:instrText xml:space="preserve"> STYLEREF 1 \s </w:instrText>
      </w:r>
      <w:r>
        <w:fldChar w:fldCharType="separate"/>
      </w:r>
      <w:r>
        <w:rPr>
          <w:noProof/>
        </w:rPr>
        <w:t>3</w:t>
      </w:r>
      <w:r>
        <w:fldChar w:fldCharType="end"/>
      </w:r>
      <w:r>
        <w:noBreakHyphen/>
      </w:r>
      <w:r>
        <w:fldChar w:fldCharType="begin"/>
      </w:r>
      <w:r>
        <w:instrText xml:space="preserve"> SEQ Table \* ARABIC \s 1 </w:instrText>
      </w:r>
      <w:r>
        <w:fldChar w:fldCharType="separate"/>
      </w:r>
      <w:r>
        <w:rPr>
          <w:noProof/>
        </w:rPr>
        <w:t>3</w:t>
      </w:r>
      <w:r>
        <w:fldChar w:fldCharType="end"/>
      </w:r>
      <w:r>
        <w:t>: Dishwashers – data sources for water sav</w:t>
      </w:r>
      <w:r>
        <w:t>ings</w:t>
      </w:r>
      <w:bookmarkEnd w:id="76"/>
    </w:p>
    <w:tbl>
      <w:tblPr>
        <w:tblStyle w:val="TableGrid"/>
        <w:tblW w:w="8755" w:type="dxa"/>
        <w:tblLook w:val="01E0"/>
      </w:tblPr>
      <w:tblGrid>
        <w:gridCol w:w="1526"/>
        <w:gridCol w:w="3685"/>
        <w:gridCol w:w="3544"/>
      </w:tblGrid>
      <w:tr w:rsidR="00000000">
        <w:tc>
          <w:tcPr>
            <w:tcW w:w="1526" w:type="dxa"/>
            <w:shd w:val="clear" w:color="auto" w:fill="CCCCCC"/>
          </w:tcPr>
          <w:p w:rsidR="00000000" w:rsidRDefault="00D35856">
            <w:pPr>
              <w:keepNext w:val="0"/>
              <w:spacing w:after="0"/>
              <w:jc w:val="left"/>
              <w:rPr>
                <w:rFonts w:ascii="Arial" w:hAnsi="Arial" w:cs="Arial"/>
                <w:b/>
                <w:sz w:val="20"/>
              </w:rPr>
            </w:pPr>
            <w:r>
              <w:rPr>
                <w:rFonts w:ascii="Arial" w:hAnsi="Arial" w:cs="Arial"/>
                <w:b/>
                <w:sz w:val="20"/>
              </w:rPr>
              <w:t>Data Source</w:t>
            </w:r>
          </w:p>
        </w:tc>
        <w:tc>
          <w:tcPr>
            <w:tcW w:w="3685" w:type="dxa"/>
            <w:tcBorders>
              <w:right w:val="single" w:sz="4" w:space="0" w:color="C0C0C0"/>
            </w:tcBorders>
            <w:shd w:val="clear" w:color="auto" w:fill="CCCCCC"/>
          </w:tcPr>
          <w:p w:rsidR="00000000" w:rsidRDefault="00D35856">
            <w:pPr>
              <w:keepNext w:val="0"/>
              <w:spacing w:after="0"/>
              <w:jc w:val="left"/>
              <w:rPr>
                <w:rFonts w:ascii="Arial" w:hAnsi="Arial" w:cs="Arial"/>
                <w:b/>
                <w:sz w:val="20"/>
              </w:rPr>
            </w:pPr>
            <w:r>
              <w:rPr>
                <w:rFonts w:ascii="Arial" w:hAnsi="Arial" w:cs="Arial"/>
                <w:b/>
                <w:sz w:val="20"/>
              </w:rPr>
              <w:t>Components / Detail</w:t>
            </w:r>
          </w:p>
        </w:tc>
        <w:tc>
          <w:tcPr>
            <w:tcW w:w="3544" w:type="dxa"/>
            <w:shd w:val="clear" w:color="auto" w:fill="CCCCCC"/>
          </w:tcPr>
          <w:p w:rsidR="00000000" w:rsidRDefault="00D35856">
            <w:pPr>
              <w:keepNext w:val="0"/>
              <w:spacing w:after="0"/>
              <w:jc w:val="left"/>
              <w:rPr>
                <w:rFonts w:ascii="Arial" w:hAnsi="Arial" w:cs="Arial"/>
                <w:b/>
                <w:sz w:val="20"/>
              </w:rPr>
            </w:pPr>
            <w:r>
              <w:rPr>
                <w:rFonts w:ascii="Arial" w:hAnsi="Arial" w:cs="Arial"/>
                <w:b/>
                <w:sz w:val="20"/>
              </w:rPr>
              <w:t>Comment</w:t>
            </w:r>
          </w:p>
        </w:tc>
      </w:tr>
      <w:tr w:rsidR="00000000">
        <w:tc>
          <w:tcPr>
            <w:tcW w:w="1526" w:type="dxa"/>
          </w:tcPr>
          <w:p w:rsidR="00000000" w:rsidRDefault="00D35856">
            <w:pPr>
              <w:keepNext w:val="0"/>
              <w:spacing w:after="0"/>
              <w:jc w:val="left"/>
              <w:rPr>
                <w:rFonts w:ascii="Arial" w:hAnsi="Arial" w:cs="Arial"/>
                <w:sz w:val="18"/>
              </w:rPr>
            </w:pPr>
            <w:r>
              <w:rPr>
                <w:rFonts w:ascii="Arial" w:hAnsi="Arial" w:cs="Arial"/>
                <w:sz w:val="18"/>
              </w:rPr>
              <w:t>1. George Wilkenfeld and Associates Model for RIS (2004)</w:t>
            </w:r>
          </w:p>
        </w:tc>
        <w:tc>
          <w:tcPr>
            <w:tcW w:w="3685" w:type="dxa"/>
          </w:tcPr>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Water savings by State / Nationally</w:t>
            </w:r>
          </w:p>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Water savings by Front loader / Top loader</w:t>
            </w:r>
          </w:p>
        </w:tc>
        <w:tc>
          <w:tcPr>
            <w:tcW w:w="3544" w:type="dxa"/>
          </w:tcPr>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Based on changing trends in dishwasher efficiency, predicted future sales, predicted declining occupancy ratio and a distribution of usage rates per person per year into the future</w:t>
            </w:r>
          </w:p>
        </w:tc>
      </w:tr>
      <w:tr w:rsidR="00000000">
        <w:tc>
          <w:tcPr>
            <w:tcW w:w="1526" w:type="dxa"/>
          </w:tcPr>
          <w:p w:rsidR="00000000" w:rsidRDefault="00D35856">
            <w:pPr>
              <w:keepNext w:val="0"/>
              <w:spacing w:after="0"/>
              <w:jc w:val="left"/>
              <w:rPr>
                <w:rFonts w:ascii="Arial" w:hAnsi="Arial" w:cs="Arial"/>
                <w:sz w:val="18"/>
              </w:rPr>
            </w:pPr>
            <w:r>
              <w:rPr>
                <w:rFonts w:ascii="Arial" w:hAnsi="Arial" w:cs="Arial"/>
                <w:sz w:val="18"/>
              </w:rPr>
              <w:t>2. GfK Sales Data (to 2005)</w:t>
            </w:r>
          </w:p>
        </w:tc>
        <w:tc>
          <w:tcPr>
            <w:tcW w:w="3685" w:type="dxa"/>
          </w:tcPr>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Actual sales trends by State / Nationally</w:t>
            </w:r>
          </w:p>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Water and Energy Star</w:t>
            </w:r>
          </w:p>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Capacity</w:t>
            </w:r>
          </w:p>
        </w:tc>
        <w:tc>
          <w:tcPr>
            <w:tcW w:w="3544" w:type="dxa"/>
          </w:tcPr>
          <w:p w:rsidR="00000000" w:rsidRDefault="00D35856">
            <w:pPr>
              <w:keepNext w:val="0"/>
              <w:spacing w:after="0"/>
              <w:ind w:left="55"/>
              <w:jc w:val="left"/>
              <w:rPr>
                <w:rFonts w:ascii="Arial" w:hAnsi="Arial" w:cs="Arial"/>
                <w:sz w:val="18"/>
              </w:rPr>
            </w:pPr>
          </w:p>
        </w:tc>
      </w:tr>
      <w:tr w:rsidR="00000000">
        <w:tc>
          <w:tcPr>
            <w:tcW w:w="1526" w:type="dxa"/>
          </w:tcPr>
          <w:p w:rsidR="00000000" w:rsidRDefault="00D35856">
            <w:pPr>
              <w:keepNext w:val="0"/>
              <w:spacing w:after="0"/>
              <w:jc w:val="left"/>
              <w:rPr>
                <w:rFonts w:ascii="Arial" w:hAnsi="Arial" w:cs="Arial"/>
                <w:sz w:val="18"/>
              </w:rPr>
            </w:pPr>
            <w:r>
              <w:rPr>
                <w:rFonts w:ascii="Arial" w:hAnsi="Arial" w:cs="Arial"/>
                <w:sz w:val="18"/>
              </w:rPr>
              <w:t>3. GfK 2006 Sales</w:t>
            </w:r>
          </w:p>
        </w:tc>
        <w:tc>
          <w:tcPr>
            <w:tcW w:w="3685" w:type="dxa"/>
          </w:tcPr>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As for GfK to 2005 but with sales by model level of detail</w:t>
            </w:r>
          </w:p>
        </w:tc>
        <w:tc>
          <w:tcPr>
            <w:tcW w:w="3544" w:type="dxa"/>
          </w:tcPr>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Useful to compare if water efficient models sold are also energy efficient and visa versa</w:t>
            </w:r>
          </w:p>
        </w:tc>
      </w:tr>
      <w:tr w:rsidR="00000000">
        <w:tc>
          <w:tcPr>
            <w:tcW w:w="1526" w:type="dxa"/>
          </w:tcPr>
          <w:p w:rsidR="00000000" w:rsidRDefault="00D35856">
            <w:pPr>
              <w:keepNext w:val="0"/>
              <w:spacing w:after="0"/>
              <w:jc w:val="left"/>
              <w:rPr>
                <w:rFonts w:ascii="Arial" w:hAnsi="Arial" w:cs="Arial"/>
                <w:sz w:val="18"/>
              </w:rPr>
            </w:pPr>
            <w:r>
              <w:rPr>
                <w:rFonts w:ascii="Arial" w:hAnsi="Arial" w:cs="Arial"/>
                <w:sz w:val="18"/>
              </w:rPr>
              <w:t xml:space="preserve">4. </w:t>
            </w:r>
            <w:smartTag w:uri="urn:schemas-microsoft-com:office:smarttags" w:element="City">
              <w:r>
                <w:rPr>
                  <w:rFonts w:ascii="Arial" w:hAnsi="Arial" w:cs="Arial"/>
                  <w:sz w:val="18"/>
                </w:rPr>
                <w:t>WELS</w:t>
              </w:r>
            </w:smartTag>
            <w:r>
              <w:rPr>
                <w:rFonts w:ascii="Arial" w:hAnsi="Arial" w:cs="Arial"/>
                <w:sz w:val="18"/>
              </w:rPr>
              <w:t xml:space="preserve"> database</w:t>
            </w:r>
          </w:p>
        </w:tc>
        <w:tc>
          <w:tcPr>
            <w:tcW w:w="3685" w:type="dxa"/>
          </w:tcPr>
          <w:p w:rsidR="00000000" w:rsidRDefault="00D35856">
            <w:pPr>
              <w:keepNext w:val="0"/>
              <w:numPr>
                <w:ilvl w:val="1"/>
                <w:numId w:val="5"/>
              </w:numPr>
              <w:tabs>
                <w:tab w:val="clear" w:pos="1443"/>
                <w:tab w:val="num" w:pos="276"/>
              </w:tabs>
              <w:spacing w:after="0"/>
              <w:ind w:left="276" w:hanging="221"/>
              <w:jc w:val="left"/>
              <w:rPr>
                <w:rFonts w:ascii="Arial" w:hAnsi="Arial" w:cs="Arial"/>
                <w:sz w:val="18"/>
              </w:rPr>
            </w:pPr>
            <w:r>
              <w:rPr>
                <w:rFonts w:ascii="Arial" w:hAnsi="Arial" w:cs="Arial"/>
                <w:sz w:val="18"/>
              </w:rPr>
              <w:t>Number of models registered</w:t>
            </w:r>
          </w:p>
        </w:tc>
        <w:tc>
          <w:tcPr>
            <w:tcW w:w="3544" w:type="dxa"/>
          </w:tcPr>
          <w:p w:rsidR="00000000" w:rsidRDefault="00D35856">
            <w:pPr>
              <w:keepNext w:val="0"/>
              <w:spacing w:after="0"/>
              <w:ind w:left="55"/>
              <w:jc w:val="left"/>
              <w:rPr>
                <w:rFonts w:ascii="Arial" w:hAnsi="Arial" w:cs="Arial"/>
                <w:sz w:val="18"/>
              </w:rPr>
            </w:pPr>
          </w:p>
        </w:tc>
      </w:tr>
    </w:tbl>
    <w:p w:rsidR="00000000" w:rsidRDefault="00D35856">
      <w:pPr>
        <w:keepNext w:val="0"/>
      </w:pPr>
    </w:p>
    <w:p w:rsidR="00000000" w:rsidRDefault="00D35856">
      <w:pPr>
        <w:pStyle w:val="Heading4"/>
        <w:keepNext w:val="0"/>
        <w:rPr>
          <w:color w:val="auto"/>
        </w:rPr>
      </w:pPr>
      <w:r>
        <w:rPr>
          <w:color w:val="auto"/>
        </w:rPr>
        <w:t>Modelling approach and key assumptions</w:t>
      </w:r>
    </w:p>
    <w:p w:rsidR="00000000" w:rsidRDefault="00D35856">
      <w:pPr>
        <w:keepNext w:val="0"/>
      </w:pPr>
      <w:r>
        <w:t>For dishwasher modelling occurs from financial year 2005-2006 until 2020-2021 and savings are calculated in accordance with Equation 2 below.</w:t>
      </w:r>
    </w:p>
    <w:p w:rsidR="00000000" w:rsidRDefault="00D35856">
      <w:pPr>
        <w:pStyle w:val="Caption"/>
        <w:keepNext w:val="0"/>
      </w:pPr>
      <w:r>
        <w:t xml:space="preserve">Savings due to </w:t>
      </w:r>
      <w:smartTag w:uri="urn:schemas-microsoft-com:office:smarttags" w:element="City">
        <w:r>
          <w:t>WELS</w:t>
        </w:r>
      </w:smartTag>
      <w:r>
        <w:t xml:space="preserve"> and other factors for Dishwashers (t) = </w:t>
      </w:r>
      <w:r>
        <w:br/>
      </w:r>
      <w:r>
        <w:tab/>
        <w:t>[DishWasherSales</w:t>
      </w:r>
      <w:r>
        <w:rPr>
          <w:vertAlign w:val="subscript"/>
        </w:rPr>
        <w:t>NoWELS</w:t>
      </w:r>
      <w:r>
        <w:t>(t) ×Average Efficiency Per Cycle</w:t>
      </w:r>
      <w:r>
        <w:rPr>
          <w:vertAlign w:val="subscript"/>
        </w:rPr>
        <w:t>NoWELS</w:t>
      </w:r>
      <w:r>
        <w:t>(t) × Cycles Per Year</w:t>
      </w:r>
      <w:r>
        <w:rPr>
          <w:vertAlign w:val="subscript"/>
        </w:rPr>
        <w:t>NoWELS</w:t>
      </w:r>
      <w:r>
        <w:t xml:space="preserve">] – </w:t>
      </w:r>
      <w:r>
        <w:br/>
      </w:r>
      <w:r>
        <w:tab/>
        <w:t>[DishWasherSales</w:t>
      </w:r>
      <w:r>
        <w:rPr>
          <w:vertAlign w:val="subscript"/>
        </w:rPr>
        <w:t>WELS</w:t>
      </w:r>
      <w:r>
        <w:t>(t) ×Average Efficiency Per Cycle</w:t>
      </w:r>
      <w:r>
        <w:rPr>
          <w:vertAlign w:val="subscript"/>
        </w:rPr>
        <w:t>WELS</w:t>
      </w:r>
      <w:r>
        <w:t>(t) × Cycles Per Year</w:t>
      </w:r>
      <w:r>
        <w:rPr>
          <w:vertAlign w:val="subscript"/>
        </w:rPr>
        <w:t xml:space="preserve">WELS </w:t>
      </w:r>
      <w:r>
        <w:t>]</w:t>
      </w:r>
      <w:r>
        <w:tab/>
        <w:t xml:space="preserve">Equation </w:t>
      </w:r>
      <w:r>
        <w:fldChar w:fldCharType="begin"/>
      </w:r>
      <w:r>
        <w:instrText xml:space="preserve"> SEQ Equation \* ARABIC </w:instrText>
      </w:r>
      <w:r>
        <w:fldChar w:fldCharType="separate"/>
      </w:r>
      <w:r>
        <w:rPr>
          <w:noProof/>
        </w:rPr>
        <w:t>2</w:t>
      </w:r>
      <w:r>
        <w:fldChar w:fldCharType="end"/>
      </w:r>
    </w:p>
    <w:p w:rsidR="00000000" w:rsidRDefault="00D35856">
      <w:pPr>
        <w:keepNext w:val="0"/>
      </w:pPr>
    </w:p>
    <w:p w:rsidR="00000000" w:rsidRDefault="00D35856">
      <w:pPr>
        <w:keepNext w:val="0"/>
      </w:pPr>
      <w:r>
        <w:t xml:space="preserve">The conceptual differences between the RIS and updated scenarios used in this report are shown in </w:t>
      </w:r>
      <w:fldSimple w:instr=" REF _Ref188087825 \h  \* MERGEFORMAT ">
        <w:r>
          <w:t xml:space="preserve">Figure </w:t>
        </w:r>
        <w:r>
          <w:rPr>
            <w:noProof/>
          </w:rPr>
          <w:t>3</w:t>
        </w:r>
        <w:r>
          <w:rPr>
            <w:noProof/>
          </w:rPr>
          <w:noBreakHyphen/>
        </w:r>
      </w:fldSimple>
      <w:r>
        <w:t xml:space="preserve">6. </w:t>
      </w:r>
    </w:p>
    <w:p w:rsidR="00000000" w:rsidRDefault="00D35856">
      <w:pPr>
        <w:pStyle w:val="Caption"/>
        <w:keepNext w:val="0"/>
      </w:pPr>
      <w:bookmarkStart w:id="77" w:name="_Ref188087825"/>
      <w:bookmarkStart w:id="78" w:name="_Toc191475256"/>
      <w:bookmarkStart w:id="79" w:name="_Toc199933819"/>
      <w:r>
        <w:lastRenderedPageBreak/>
        <w:t xml:space="preserve">Figure </w:t>
      </w:r>
      <w:r>
        <w:fldChar w:fldCharType="begin"/>
      </w:r>
      <w:r>
        <w:instrText xml:space="preserve"> STYLEREF 1 \s </w:instrText>
      </w:r>
      <w:r>
        <w:fldChar w:fldCharType="separate"/>
      </w:r>
      <w:r>
        <w:rPr>
          <w:noProof/>
        </w:rPr>
        <w:t>3</w:t>
      </w:r>
      <w:r>
        <w:fldChar w:fldCharType="end"/>
      </w:r>
      <w:r>
        <w:noBreakHyphen/>
      </w:r>
      <w:bookmarkEnd w:id="77"/>
      <w:r>
        <w:t>6: Dishwasher scenarios</w:t>
      </w:r>
      <w:bookmarkEnd w:id="78"/>
      <w:bookmarkEnd w:id="79"/>
    </w:p>
    <w:p w:rsidR="00000000" w:rsidRDefault="00D35856">
      <w:pPr>
        <w:keepNext w:val="0"/>
      </w:pPr>
      <w:r>
        <w:rPr>
          <w:noProof/>
          <w:lang w:eastAsia="en-AU"/>
        </w:rPr>
        <w:drawing>
          <wp:inline distT="0" distB="0" distL="0" distR="0">
            <wp:extent cx="5455920" cy="1379220"/>
            <wp:effectExtent l="0" t="0" r="0" b="0"/>
            <wp:docPr id="13" name="Picture 13" descr="Fig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 3-6"/>
                    <pic:cNvPicPr>
                      <a:picLocks noChangeAspect="1" noChangeArrowheads="1"/>
                    </pic:cNvPicPr>
                  </pic:nvPicPr>
                  <pic:blipFill>
                    <a:blip r:embed="rId26"/>
                    <a:srcRect/>
                    <a:stretch>
                      <a:fillRect/>
                    </a:stretch>
                  </pic:blipFill>
                  <pic:spPr bwMode="auto">
                    <a:xfrm>
                      <a:off x="0" y="0"/>
                      <a:ext cx="5455920" cy="1379220"/>
                    </a:xfrm>
                    <a:prstGeom prst="rect">
                      <a:avLst/>
                    </a:prstGeom>
                    <a:noFill/>
                    <a:ln w="9525">
                      <a:noFill/>
                      <a:miter lim="800000"/>
                      <a:headEnd/>
                      <a:tailEnd/>
                    </a:ln>
                  </pic:spPr>
                </pic:pic>
              </a:graphicData>
            </a:graphic>
          </wp:inline>
        </w:drawing>
      </w:r>
    </w:p>
    <w:p w:rsidR="00000000" w:rsidRDefault="00D35856">
      <w:pPr>
        <w:keepNext w:val="0"/>
      </w:pPr>
      <w:r>
        <w:t>The values for parameters used in Equation 2 to define the updated scenarios are d</w:t>
      </w:r>
      <w:r>
        <w:t xml:space="preserve">escribed in </w:t>
      </w:r>
      <w:fldSimple w:instr=" REF _Ref188087255 \h  \* MERGEFORMAT ">
        <w:r>
          <w:t xml:space="preserve">Table </w:t>
        </w:r>
        <w:r>
          <w:rPr>
            <w:noProof/>
          </w:rPr>
          <w:t>3</w:t>
        </w:r>
        <w:r>
          <w:rPr>
            <w:noProof/>
          </w:rPr>
          <w:noBreakHyphen/>
          <w:t>4</w:t>
        </w:r>
      </w:fldSimple>
      <w:r>
        <w:t>.</w:t>
      </w:r>
    </w:p>
    <w:p w:rsidR="00000000" w:rsidRDefault="00D35856">
      <w:pPr>
        <w:keepNext w:val="0"/>
      </w:pPr>
    </w:p>
    <w:p w:rsidR="00000000" w:rsidRDefault="00D35856">
      <w:pPr>
        <w:pStyle w:val="Caption"/>
        <w:keepNext w:val="0"/>
      </w:pPr>
      <w:bookmarkStart w:id="80" w:name="_Ref188087255"/>
      <w:bookmarkStart w:id="81" w:name="_Toc199933788"/>
      <w:r>
        <w:t xml:space="preserve">Table </w:t>
      </w:r>
      <w:r>
        <w:fldChar w:fldCharType="begin"/>
      </w:r>
      <w:r>
        <w:instrText xml:space="preserve"> STYLEREF 1 \s </w:instrText>
      </w:r>
      <w:r>
        <w:fldChar w:fldCharType="separate"/>
      </w:r>
      <w:r>
        <w:rPr>
          <w:noProof/>
        </w:rPr>
        <w:t>3</w:t>
      </w:r>
      <w:r>
        <w:fldChar w:fldCharType="end"/>
      </w:r>
      <w:r>
        <w:noBreakHyphen/>
      </w:r>
      <w:r>
        <w:fldChar w:fldCharType="begin"/>
      </w:r>
      <w:r>
        <w:instrText xml:space="preserve"> SEQ Table \* ARABIC \s 1 </w:instrText>
      </w:r>
      <w:r>
        <w:fldChar w:fldCharType="separate"/>
      </w:r>
      <w:r>
        <w:rPr>
          <w:noProof/>
        </w:rPr>
        <w:t>4</w:t>
      </w:r>
      <w:r>
        <w:fldChar w:fldCharType="end"/>
      </w:r>
      <w:bookmarkEnd w:id="80"/>
      <w:r>
        <w:t>: Dishwashers– parameters used t</w:t>
      </w:r>
      <w:r>
        <w:t>o model updated scenarios</w:t>
      </w:r>
      <w:bookmarkEnd w:id="81"/>
    </w:p>
    <w:tbl>
      <w:tblPr>
        <w:tblStyle w:val="TableGrid"/>
        <w:tblW w:w="8755" w:type="dxa"/>
        <w:tblLook w:val="01E0"/>
      </w:tblPr>
      <w:tblGrid>
        <w:gridCol w:w="2376"/>
        <w:gridCol w:w="2127"/>
        <w:gridCol w:w="4252"/>
      </w:tblGrid>
      <w:tr w:rsidR="00000000">
        <w:tc>
          <w:tcPr>
            <w:tcW w:w="2376" w:type="dxa"/>
            <w:shd w:val="clear" w:color="auto" w:fill="CCCCCC"/>
          </w:tcPr>
          <w:p w:rsidR="00000000" w:rsidRDefault="00D35856">
            <w:pPr>
              <w:keepNext w:val="0"/>
              <w:spacing w:after="0"/>
              <w:rPr>
                <w:rFonts w:ascii="Arial" w:hAnsi="Arial" w:cs="Arial"/>
                <w:b/>
                <w:sz w:val="20"/>
              </w:rPr>
            </w:pPr>
            <w:r>
              <w:rPr>
                <w:rFonts w:ascii="Arial" w:hAnsi="Arial" w:cs="Arial"/>
                <w:b/>
                <w:sz w:val="20"/>
              </w:rPr>
              <w:t xml:space="preserve">Parameters </w:t>
            </w:r>
          </w:p>
        </w:tc>
        <w:tc>
          <w:tcPr>
            <w:tcW w:w="2127" w:type="dxa"/>
            <w:shd w:val="clear" w:color="auto" w:fill="CCCCCC"/>
          </w:tcPr>
          <w:p w:rsidR="00000000" w:rsidRDefault="00D35856">
            <w:pPr>
              <w:keepNext w:val="0"/>
              <w:spacing w:after="0"/>
              <w:jc w:val="center"/>
              <w:rPr>
                <w:rFonts w:ascii="Arial" w:hAnsi="Arial" w:cs="Arial"/>
                <w:b/>
                <w:sz w:val="20"/>
              </w:rPr>
            </w:pPr>
            <w:r>
              <w:rPr>
                <w:rFonts w:ascii="Arial" w:hAnsi="Arial" w:cs="Arial"/>
                <w:b/>
                <w:sz w:val="20"/>
              </w:rPr>
              <w:t>Sources</w:t>
            </w:r>
          </w:p>
        </w:tc>
        <w:tc>
          <w:tcPr>
            <w:tcW w:w="4252" w:type="dxa"/>
            <w:shd w:val="clear" w:color="auto" w:fill="CCCCCC"/>
          </w:tcPr>
          <w:p w:rsidR="00000000" w:rsidRDefault="00D35856">
            <w:pPr>
              <w:keepNext w:val="0"/>
              <w:spacing w:after="0"/>
              <w:jc w:val="center"/>
              <w:rPr>
                <w:rFonts w:ascii="Arial" w:hAnsi="Arial" w:cs="Arial"/>
                <w:b/>
                <w:sz w:val="20"/>
              </w:rPr>
            </w:pPr>
            <w:r>
              <w:rPr>
                <w:rFonts w:ascii="Arial" w:hAnsi="Arial" w:cs="Arial"/>
                <w:b/>
                <w:sz w:val="20"/>
              </w:rPr>
              <w:t>Comment</w:t>
            </w:r>
          </w:p>
        </w:tc>
      </w:tr>
      <w:tr w:rsidR="00000000">
        <w:tc>
          <w:tcPr>
            <w:tcW w:w="2376" w:type="dxa"/>
          </w:tcPr>
          <w:p w:rsidR="00000000" w:rsidRDefault="00D35856">
            <w:pPr>
              <w:keepNext w:val="0"/>
              <w:spacing w:after="0"/>
              <w:rPr>
                <w:rFonts w:ascii="Arial" w:hAnsi="Arial" w:cs="Arial"/>
                <w:i/>
                <w:sz w:val="18"/>
                <w:szCs w:val="18"/>
              </w:rPr>
            </w:pPr>
            <w:r>
              <w:rPr>
                <w:rFonts w:ascii="Arial" w:hAnsi="Arial" w:cs="Arial"/>
                <w:i/>
                <w:sz w:val="18"/>
                <w:szCs w:val="18"/>
              </w:rPr>
              <w:t>DishWasherSales</w:t>
            </w:r>
            <w:r>
              <w:rPr>
                <w:rFonts w:ascii="Arial" w:hAnsi="Arial" w:cs="Arial"/>
                <w:i/>
                <w:sz w:val="18"/>
                <w:szCs w:val="18"/>
                <w:vertAlign w:val="subscript"/>
              </w:rPr>
              <w:t>NoWELS</w:t>
            </w:r>
            <w:r>
              <w:rPr>
                <w:rFonts w:ascii="Arial" w:hAnsi="Arial" w:cs="Arial"/>
                <w:i/>
                <w:sz w:val="18"/>
                <w:szCs w:val="18"/>
              </w:rPr>
              <w:t>(t)</w:t>
            </w:r>
          </w:p>
          <w:p w:rsidR="00000000" w:rsidRDefault="00D35856">
            <w:pPr>
              <w:keepNext w:val="0"/>
              <w:spacing w:after="0"/>
              <w:rPr>
                <w:rFonts w:ascii="Arial" w:hAnsi="Arial" w:cs="Arial"/>
                <w:sz w:val="18"/>
              </w:rPr>
            </w:pPr>
          </w:p>
        </w:tc>
        <w:tc>
          <w:tcPr>
            <w:tcW w:w="2127" w:type="dxa"/>
          </w:tcPr>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RIS (George Wilkenfeld and Associates, 2004)</w:t>
            </w:r>
          </w:p>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GfK recent data 2005 / 2006</w:t>
            </w:r>
          </w:p>
        </w:tc>
        <w:tc>
          <w:tcPr>
            <w:tcW w:w="4252" w:type="dxa"/>
          </w:tcPr>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Sales for updated scenarios in this report are assumed (as per RIS) and</w:t>
            </w:r>
            <w:r>
              <w:rPr>
                <w:rFonts w:ascii="Arial" w:hAnsi="Arial" w:cs="Arial"/>
                <w:sz w:val="18"/>
              </w:rPr>
              <w:t xml:space="preserve"> indicates variability, however the two data points of 2005 and 2006 that are higher than the RIS projections were not considered sufficient evidence to assume a higher sustained trend. If a higher trend occurs the savings from </w:t>
            </w:r>
            <w:smartTag w:uri="urn:schemas-microsoft-com:office:smarttags" w:element="City">
              <w:r>
                <w:rPr>
                  <w:rFonts w:ascii="Arial" w:hAnsi="Arial" w:cs="Arial"/>
                  <w:sz w:val="18"/>
                </w:rPr>
                <w:t>WELS</w:t>
              </w:r>
            </w:smartTag>
            <w:r>
              <w:rPr>
                <w:rFonts w:ascii="Arial" w:hAnsi="Arial" w:cs="Arial"/>
                <w:sz w:val="18"/>
              </w:rPr>
              <w:t xml:space="preserve"> will be greater</w:t>
            </w:r>
            <w:r>
              <w:rPr>
                <w:rFonts w:ascii="Arial" w:hAnsi="Arial" w:cs="Arial"/>
                <w:sz w:val="18"/>
              </w:rPr>
              <w:t xml:space="preserve">, hence the position adopted is conservative with respect to potential savings. </w:t>
            </w:r>
          </w:p>
        </w:tc>
      </w:tr>
      <w:tr w:rsidR="00000000">
        <w:tc>
          <w:tcPr>
            <w:tcW w:w="2376" w:type="dxa"/>
          </w:tcPr>
          <w:p w:rsidR="00000000" w:rsidRDefault="00D35856">
            <w:pPr>
              <w:keepNext w:val="0"/>
              <w:spacing w:after="0"/>
              <w:rPr>
                <w:rFonts w:ascii="Arial" w:hAnsi="Arial" w:cs="Arial"/>
                <w:sz w:val="18"/>
              </w:rPr>
            </w:pPr>
            <w:r>
              <w:rPr>
                <w:rFonts w:ascii="Arial" w:hAnsi="Arial" w:cs="Arial"/>
                <w:i/>
                <w:sz w:val="18"/>
                <w:szCs w:val="18"/>
              </w:rPr>
              <w:t>DishWasherSales</w:t>
            </w:r>
            <w:r>
              <w:rPr>
                <w:rFonts w:ascii="Arial" w:hAnsi="Arial" w:cs="Arial"/>
                <w:i/>
                <w:sz w:val="18"/>
                <w:szCs w:val="18"/>
                <w:vertAlign w:val="subscript"/>
              </w:rPr>
              <w:t>WELS</w:t>
            </w:r>
            <w:r>
              <w:rPr>
                <w:rFonts w:ascii="Arial" w:hAnsi="Arial" w:cs="Arial"/>
                <w:i/>
                <w:sz w:val="18"/>
                <w:szCs w:val="18"/>
              </w:rPr>
              <w:t>(t)</w:t>
            </w:r>
          </w:p>
        </w:tc>
        <w:tc>
          <w:tcPr>
            <w:tcW w:w="2127" w:type="dxa"/>
          </w:tcPr>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RIS</w:t>
            </w:r>
          </w:p>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GfK recent data 2005 / 2006</w:t>
            </w:r>
          </w:p>
        </w:tc>
        <w:tc>
          <w:tcPr>
            <w:tcW w:w="4252" w:type="dxa"/>
          </w:tcPr>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 xml:space="preserve">Assumed to be same as </w:t>
            </w:r>
            <w:r>
              <w:rPr>
                <w:rFonts w:ascii="Arial" w:hAnsi="Arial" w:cs="Arial"/>
                <w:sz w:val="18"/>
              </w:rPr>
              <w:br/>
            </w:r>
            <w:r>
              <w:rPr>
                <w:rFonts w:ascii="Arial" w:hAnsi="Arial" w:cs="Arial"/>
                <w:sz w:val="18"/>
              </w:rPr>
              <w:tab/>
            </w:r>
            <w:r>
              <w:rPr>
                <w:rFonts w:ascii="Arial" w:hAnsi="Arial" w:cs="Arial"/>
                <w:i/>
                <w:sz w:val="18"/>
                <w:szCs w:val="18"/>
              </w:rPr>
              <w:t>DishWasherSales</w:t>
            </w:r>
            <w:r>
              <w:rPr>
                <w:rFonts w:ascii="Arial" w:hAnsi="Arial" w:cs="Arial"/>
                <w:i/>
                <w:sz w:val="18"/>
                <w:szCs w:val="18"/>
                <w:vertAlign w:val="subscript"/>
              </w:rPr>
              <w:t>NoWELS</w:t>
            </w:r>
            <w:r>
              <w:rPr>
                <w:rFonts w:ascii="Arial" w:hAnsi="Arial" w:cs="Arial"/>
                <w:i/>
                <w:sz w:val="18"/>
                <w:szCs w:val="18"/>
              </w:rPr>
              <w:t>(t).</w:t>
            </w:r>
          </w:p>
        </w:tc>
      </w:tr>
      <w:tr w:rsidR="00000000">
        <w:tc>
          <w:tcPr>
            <w:tcW w:w="2376" w:type="dxa"/>
          </w:tcPr>
          <w:p w:rsidR="00000000" w:rsidRDefault="00D35856">
            <w:pPr>
              <w:keepNext w:val="0"/>
              <w:spacing w:after="0"/>
              <w:rPr>
                <w:rFonts w:ascii="Arial" w:hAnsi="Arial" w:cs="Arial"/>
                <w:sz w:val="18"/>
              </w:rPr>
            </w:pPr>
            <w:r>
              <w:rPr>
                <w:rFonts w:ascii="Arial" w:hAnsi="Arial" w:cs="Arial"/>
                <w:i/>
                <w:sz w:val="18"/>
                <w:szCs w:val="18"/>
              </w:rPr>
              <w:t>Average Efficiency per Cycle</w:t>
            </w:r>
            <w:r>
              <w:rPr>
                <w:rFonts w:ascii="Arial" w:hAnsi="Arial" w:cs="Arial"/>
                <w:i/>
                <w:sz w:val="18"/>
                <w:szCs w:val="18"/>
                <w:vertAlign w:val="subscript"/>
              </w:rPr>
              <w:t>NoWELS</w:t>
            </w:r>
            <w:r>
              <w:rPr>
                <w:rFonts w:ascii="Arial" w:hAnsi="Arial" w:cs="Arial"/>
                <w:i/>
                <w:sz w:val="18"/>
                <w:szCs w:val="18"/>
              </w:rPr>
              <w:t>(t)</w:t>
            </w:r>
          </w:p>
        </w:tc>
        <w:tc>
          <w:tcPr>
            <w:tcW w:w="2127" w:type="dxa"/>
          </w:tcPr>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RIS</w:t>
            </w:r>
          </w:p>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GfK recent data 2005 / 2006</w:t>
            </w:r>
          </w:p>
        </w:tc>
        <w:tc>
          <w:tcPr>
            <w:tcW w:w="4252" w:type="dxa"/>
          </w:tcPr>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 xml:space="preserve">Efficiency is expressed as L/wash with updated trajectory shown in </w:t>
            </w:r>
            <w:fldSimple w:instr=" REF _Ref188086371 \h  \* MERGEFORMAT ">
              <w:r>
                <w:rPr>
                  <w:rFonts w:ascii="Arial" w:hAnsi="Arial" w:cs="Arial"/>
                  <w:sz w:val="18"/>
                  <w:szCs w:val="18"/>
                </w:rPr>
                <w:t xml:space="preserve">Figure </w:t>
              </w:r>
              <w:r>
                <w:rPr>
                  <w:rFonts w:ascii="Arial" w:hAnsi="Arial" w:cs="Arial"/>
                  <w:noProof/>
                  <w:sz w:val="18"/>
                  <w:szCs w:val="18"/>
                </w:rPr>
                <w:t>3</w:t>
              </w:r>
              <w:r>
                <w:rPr>
                  <w:rFonts w:ascii="Arial" w:hAnsi="Arial" w:cs="Arial"/>
                  <w:noProof/>
                  <w:sz w:val="18"/>
                  <w:szCs w:val="18"/>
                </w:rPr>
                <w:noBreakHyphen/>
              </w:r>
            </w:fldSimple>
            <w:r>
              <w:rPr>
                <w:rFonts w:ascii="Arial" w:hAnsi="Arial" w:cs="Arial"/>
                <w:sz w:val="18"/>
                <w:szCs w:val="18"/>
              </w:rPr>
              <w:t xml:space="preserve"> assumed to continue recent trend and then i</w:t>
            </w:r>
            <w:r>
              <w:rPr>
                <w:rFonts w:ascii="Arial" w:hAnsi="Arial" w:cs="Arial"/>
                <w:sz w:val="18"/>
                <w:szCs w:val="18"/>
              </w:rPr>
              <w:t>ncrementally progress toward a 3 star usage (15 L/cycle) for a 12 place machine by 2021.</w:t>
            </w:r>
          </w:p>
        </w:tc>
      </w:tr>
      <w:tr w:rsidR="00000000">
        <w:tc>
          <w:tcPr>
            <w:tcW w:w="2376" w:type="dxa"/>
          </w:tcPr>
          <w:p w:rsidR="00000000" w:rsidRDefault="00D35856">
            <w:pPr>
              <w:keepNext w:val="0"/>
              <w:spacing w:after="0"/>
              <w:rPr>
                <w:rFonts w:ascii="Arial" w:hAnsi="Arial" w:cs="Arial"/>
                <w:sz w:val="18"/>
              </w:rPr>
            </w:pPr>
            <w:r>
              <w:rPr>
                <w:rFonts w:ascii="Arial" w:hAnsi="Arial" w:cs="Arial"/>
                <w:i/>
                <w:sz w:val="18"/>
                <w:szCs w:val="18"/>
              </w:rPr>
              <w:t>Average Efficiency per Cycle</w:t>
            </w:r>
            <w:r>
              <w:rPr>
                <w:rFonts w:ascii="Arial" w:hAnsi="Arial" w:cs="Arial"/>
                <w:i/>
                <w:sz w:val="18"/>
                <w:szCs w:val="18"/>
                <w:vertAlign w:val="subscript"/>
              </w:rPr>
              <w:t>WELS</w:t>
            </w:r>
            <w:r>
              <w:rPr>
                <w:rFonts w:ascii="Arial" w:hAnsi="Arial" w:cs="Arial"/>
                <w:i/>
                <w:sz w:val="18"/>
                <w:szCs w:val="18"/>
              </w:rPr>
              <w:t>(t)</w:t>
            </w:r>
          </w:p>
        </w:tc>
        <w:tc>
          <w:tcPr>
            <w:tcW w:w="2127" w:type="dxa"/>
          </w:tcPr>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RIS</w:t>
            </w:r>
          </w:p>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GfK recent data 2005 / 2006</w:t>
            </w:r>
          </w:p>
        </w:tc>
        <w:tc>
          <w:tcPr>
            <w:tcW w:w="4252" w:type="dxa"/>
          </w:tcPr>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 xml:space="preserve">Efficiency is expressed as L/wash with updated trajectory shown in </w:t>
            </w:r>
            <w:fldSimple w:instr=" REF _Ref188086371 \h  \* MERGEFORMAT ">
              <w:r>
                <w:rPr>
                  <w:rFonts w:ascii="Arial" w:hAnsi="Arial" w:cs="Arial"/>
                  <w:sz w:val="18"/>
                  <w:szCs w:val="18"/>
                </w:rPr>
                <w:t xml:space="preserve">Figure </w:t>
              </w:r>
              <w:r>
                <w:rPr>
                  <w:rFonts w:ascii="Arial" w:hAnsi="Arial" w:cs="Arial"/>
                  <w:noProof/>
                  <w:sz w:val="18"/>
                  <w:szCs w:val="18"/>
                </w:rPr>
                <w:t>3</w:t>
              </w:r>
              <w:r>
                <w:rPr>
                  <w:rFonts w:ascii="Arial" w:hAnsi="Arial" w:cs="Arial"/>
                  <w:noProof/>
                  <w:sz w:val="18"/>
                  <w:szCs w:val="18"/>
                </w:rPr>
                <w:noBreakHyphen/>
              </w:r>
            </w:fldSimple>
            <w:r>
              <w:rPr>
                <w:rFonts w:ascii="Arial" w:hAnsi="Arial" w:cs="Arial"/>
                <w:caps/>
                <w:sz w:val="18"/>
                <w:szCs w:val="18"/>
              </w:rPr>
              <w:t xml:space="preserve"> </w:t>
            </w:r>
            <w:r>
              <w:rPr>
                <w:rFonts w:ascii="Arial" w:hAnsi="Arial" w:cs="Arial"/>
                <w:sz w:val="18"/>
                <w:szCs w:val="18"/>
              </w:rPr>
              <w:t>progressing toward a 5 star usage (10 L/cycle) for a 12 place setting machine by 2021.</w:t>
            </w:r>
          </w:p>
        </w:tc>
      </w:tr>
      <w:tr w:rsidR="00000000">
        <w:tc>
          <w:tcPr>
            <w:tcW w:w="2376" w:type="dxa"/>
          </w:tcPr>
          <w:p w:rsidR="00000000" w:rsidRDefault="00D35856">
            <w:pPr>
              <w:keepNext w:val="0"/>
              <w:spacing w:after="0"/>
              <w:rPr>
                <w:rFonts w:ascii="Arial" w:hAnsi="Arial" w:cs="Arial"/>
                <w:i/>
                <w:sz w:val="18"/>
                <w:szCs w:val="18"/>
              </w:rPr>
            </w:pPr>
            <w:r>
              <w:rPr>
                <w:rFonts w:ascii="Arial" w:hAnsi="Arial" w:cs="Arial"/>
                <w:i/>
                <w:sz w:val="18"/>
                <w:szCs w:val="18"/>
              </w:rPr>
              <w:t>Cycles Per Year</w:t>
            </w:r>
            <w:r>
              <w:rPr>
                <w:rFonts w:ascii="Arial" w:hAnsi="Arial" w:cs="Arial"/>
                <w:i/>
                <w:sz w:val="18"/>
                <w:szCs w:val="18"/>
                <w:vertAlign w:val="subscript"/>
              </w:rPr>
              <w:t xml:space="preserve">NoWELS / </w:t>
            </w:r>
            <w:smartTag w:uri="urn:schemas-microsoft-com:office:smarttags" w:element="City">
              <w:r>
                <w:rPr>
                  <w:rFonts w:ascii="Arial" w:hAnsi="Arial" w:cs="Arial"/>
                  <w:i/>
                  <w:sz w:val="18"/>
                  <w:szCs w:val="18"/>
                  <w:vertAlign w:val="subscript"/>
                </w:rPr>
                <w:t>WELS</w:t>
              </w:r>
            </w:smartTag>
          </w:p>
        </w:tc>
        <w:tc>
          <w:tcPr>
            <w:tcW w:w="2127" w:type="dxa"/>
          </w:tcPr>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RIS</w:t>
            </w:r>
          </w:p>
        </w:tc>
        <w:tc>
          <w:tcPr>
            <w:tcW w:w="4252" w:type="dxa"/>
          </w:tcPr>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Same as RIS as shown in</w:t>
            </w:r>
            <w:r>
              <w:rPr>
                <w:rFonts w:ascii="Arial" w:hAnsi="Arial" w:cs="Arial"/>
                <w:sz w:val="18"/>
                <w:szCs w:val="18"/>
              </w:rPr>
              <w:t xml:space="preserve"> </w:t>
            </w:r>
            <w:fldSimple w:instr=" REF _Ref188087599 \h  \* MERGEFORMAT ">
              <w:r>
                <w:rPr>
                  <w:rFonts w:ascii="Arial" w:hAnsi="Arial" w:cs="Arial"/>
                  <w:sz w:val="18"/>
                  <w:szCs w:val="18"/>
                </w:rPr>
                <w:t xml:space="preserve">Figure </w:t>
              </w:r>
              <w:r>
                <w:rPr>
                  <w:rFonts w:ascii="Arial" w:hAnsi="Arial" w:cs="Arial"/>
                  <w:noProof/>
                  <w:sz w:val="18"/>
                  <w:szCs w:val="18"/>
                </w:rPr>
                <w:t>3</w:t>
              </w:r>
              <w:r>
                <w:rPr>
                  <w:rFonts w:ascii="Arial" w:hAnsi="Arial" w:cs="Arial"/>
                  <w:noProof/>
                  <w:sz w:val="18"/>
                  <w:szCs w:val="18"/>
                </w:rPr>
                <w:noBreakHyphen/>
              </w:r>
            </w:fldSimple>
            <w:r>
              <w:rPr>
                <w:rFonts w:ascii="Arial" w:hAnsi="Arial" w:cs="Arial"/>
                <w:sz w:val="18"/>
                <w:szCs w:val="18"/>
              </w:rPr>
              <w:t>.</w:t>
            </w:r>
          </w:p>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 xml:space="preserve">N.B. Same for No </w:t>
            </w:r>
            <w:smartTag w:uri="urn:schemas-microsoft-com:office:smarttags" w:element="City">
              <w:r>
                <w:rPr>
                  <w:rFonts w:ascii="Arial" w:hAnsi="Arial" w:cs="Arial"/>
                  <w:sz w:val="18"/>
                </w:rPr>
                <w:t>WELS</w:t>
              </w:r>
            </w:smartTag>
            <w:r>
              <w:rPr>
                <w:rFonts w:ascii="Arial" w:hAnsi="Arial" w:cs="Arial"/>
                <w:sz w:val="18"/>
              </w:rPr>
              <w:t xml:space="preserve"> / </w:t>
            </w:r>
            <w:smartTag w:uri="urn:schemas-microsoft-com:office:smarttags" w:element="City">
              <w:r>
                <w:rPr>
                  <w:rFonts w:ascii="Arial" w:hAnsi="Arial" w:cs="Arial"/>
                  <w:sz w:val="18"/>
                </w:rPr>
                <w:t>WELS</w:t>
              </w:r>
            </w:smartTag>
            <w:r>
              <w:rPr>
                <w:rFonts w:ascii="Arial" w:hAnsi="Arial" w:cs="Arial"/>
                <w:sz w:val="18"/>
              </w:rPr>
              <w:t>.</w:t>
            </w:r>
          </w:p>
        </w:tc>
      </w:tr>
    </w:tbl>
    <w:p w:rsidR="00000000" w:rsidRDefault="00D35856">
      <w:pPr>
        <w:keepNext w:val="0"/>
      </w:pPr>
    </w:p>
    <w:p w:rsidR="00000000" w:rsidRDefault="00D35856">
      <w:pPr>
        <w:pStyle w:val="Caption"/>
        <w:keepNext w:val="0"/>
        <w:pageBreakBefore/>
      </w:pPr>
      <w:bookmarkStart w:id="82" w:name="_Ref188086371"/>
      <w:bookmarkStart w:id="83" w:name="_Toc191475257"/>
      <w:bookmarkStart w:id="84" w:name="_Toc199933820"/>
      <w:r>
        <w:lastRenderedPageBreak/>
        <w:t xml:space="preserve">Figure </w:t>
      </w:r>
      <w:r>
        <w:fldChar w:fldCharType="begin"/>
      </w:r>
      <w:r>
        <w:instrText xml:space="preserve"> STYLEREF 1 \s </w:instrText>
      </w:r>
      <w:r>
        <w:fldChar w:fldCharType="separate"/>
      </w:r>
      <w:r>
        <w:rPr>
          <w:noProof/>
        </w:rPr>
        <w:t>3</w:t>
      </w:r>
      <w:r>
        <w:fldChar w:fldCharType="end"/>
      </w:r>
      <w:r>
        <w:noBreakHyphen/>
      </w:r>
      <w:bookmarkEnd w:id="82"/>
      <w:r>
        <w:t>7: Dishwasher e</w:t>
      </w:r>
      <w:r>
        <w:t>fficiency; actual and projected</w:t>
      </w:r>
      <w:bookmarkEnd w:id="83"/>
      <w:bookmarkEnd w:id="84"/>
    </w:p>
    <w:p w:rsidR="00000000" w:rsidRDefault="00D35856">
      <w:pPr>
        <w:keepNext w:val="0"/>
        <w:jc w:val="center"/>
      </w:pPr>
      <w:r>
        <w:rPr>
          <w:noProof/>
          <w:lang w:eastAsia="en-AU"/>
        </w:rPr>
        <w:drawing>
          <wp:inline distT="0" distB="0" distL="0" distR="0">
            <wp:extent cx="5486400" cy="2712720"/>
            <wp:effectExtent l="0" t="0" r="0" b="0"/>
            <wp:docPr id="14" name="Picture 14" descr="Fig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e 3-7"/>
                    <pic:cNvPicPr>
                      <a:picLocks noChangeAspect="1" noChangeArrowheads="1"/>
                    </pic:cNvPicPr>
                  </pic:nvPicPr>
                  <pic:blipFill>
                    <a:blip r:embed="rId27"/>
                    <a:srcRect/>
                    <a:stretch>
                      <a:fillRect/>
                    </a:stretch>
                  </pic:blipFill>
                  <pic:spPr bwMode="auto">
                    <a:xfrm>
                      <a:off x="0" y="0"/>
                      <a:ext cx="5486400" cy="2712720"/>
                    </a:xfrm>
                    <a:prstGeom prst="rect">
                      <a:avLst/>
                    </a:prstGeom>
                    <a:noFill/>
                    <a:ln w="9525">
                      <a:noFill/>
                      <a:miter lim="800000"/>
                      <a:headEnd/>
                      <a:tailEnd/>
                    </a:ln>
                  </pic:spPr>
                </pic:pic>
              </a:graphicData>
            </a:graphic>
          </wp:inline>
        </w:drawing>
      </w:r>
    </w:p>
    <w:p w:rsidR="00000000" w:rsidRDefault="00D35856">
      <w:pPr>
        <w:keepNext w:val="0"/>
      </w:pPr>
    </w:p>
    <w:p w:rsidR="00000000" w:rsidRDefault="00D35856">
      <w:pPr>
        <w:pStyle w:val="Caption"/>
        <w:keepNext w:val="0"/>
      </w:pPr>
      <w:bookmarkStart w:id="85" w:name="_Ref188087599"/>
      <w:bookmarkStart w:id="86" w:name="_Toc191475258"/>
      <w:bookmarkStart w:id="87" w:name="_Toc199933821"/>
      <w:r>
        <w:t xml:space="preserve">Figure </w:t>
      </w:r>
      <w:r>
        <w:fldChar w:fldCharType="begin"/>
      </w:r>
      <w:r>
        <w:instrText xml:space="preserve"> STYLEREF 1 \s </w:instrText>
      </w:r>
      <w:r>
        <w:fldChar w:fldCharType="separate"/>
      </w:r>
      <w:r>
        <w:rPr>
          <w:noProof/>
        </w:rPr>
        <w:t>3</w:t>
      </w:r>
      <w:r>
        <w:fldChar w:fldCharType="end"/>
      </w:r>
      <w:r>
        <w:noBreakHyphen/>
      </w:r>
      <w:bookmarkEnd w:id="85"/>
      <w:r>
        <w:t>8: Dishwasher usage projections</w:t>
      </w:r>
      <w:bookmarkEnd w:id="86"/>
      <w:bookmarkEnd w:id="87"/>
    </w:p>
    <w:p w:rsidR="00000000" w:rsidRDefault="00D35856">
      <w:pPr>
        <w:keepNext w:val="0"/>
      </w:pPr>
      <w:r>
        <w:rPr>
          <w:noProof/>
          <w:lang w:eastAsia="en-AU"/>
        </w:rPr>
        <w:drawing>
          <wp:inline distT="0" distB="0" distL="0" distR="0">
            <wp:extent cx="5166360" cy="3108960"/>
            <wp:effectExtent l="0" t="0" r="0" b="0"/>
            <wp:docPr id="15" name="Picture 15" descr="Fig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 3-8"/>
                    <pic:cNvPicPr>
                      <a:picLocks noChangeAspect="1" noChangeArrowheads="1"/>
                    </pic:cNvPicPr>
                  </pic:nvPicPr>
                  <pic:blipFill>
                    <a:blip r:embed="rId28"/>
                    <a:srcRect/>
                    <a:stretch>
                      <a:fillRect/>
                    </a:stretch>
                  </pic:blipFill>
                  <pic:spPr bwMode="auto">
                    <a:xfrm>
                      <a:off x="0" y="0"/>
                      <a:ext cx="5166360" cy="3108960"/>
                    </a:xfrm>
                    <a:prstGeom prst="rect">
                      <a:avLst/>
                    </a:prstGeom>
                    <a:noFill/>
                    <a:ln w="9525">
                      <a:noFill/>
                      <a:miter lim="800000"/>
                      <a:headEnd/>
                      <a:tailEnd/>
                    </a:ln>
                  </pic:spPr>
                </pic:pic>
              </a:graphicData>
            </a:graphic>
          </wp:inline>
        </w:drawing>
      </w:r>
    </w:p>
    <w:p w:rsidR="00000000" w:rsidRDefault="00D35856">
      <w:pPr>
        <w:pStyle w:val="Heading4"/>
        <w:keepNext w:val="0"/>
        <w:rPr>
          <w:color w:val="auto"/>
          <w:highlight w:val="yellow"/>
        </w:rPr>
      </w:pPr>
      <w:r>
        <w:rPr>
          <w:color w:val="auto"/>
        </w:rPr>
        <w:t>Analysis of confounding factors</w:t>
      </w:r>
    </w:p>
    <w:p w:rsidR="00000000" w:rsidRDefault="00D35856">
      <w:pPr>
        <w:keepNext w:val="0"/>
      </w:pPr>
      <w:r>
        <w:t xml:space="preserve">Residential behaviours have been assumed for commercial dishwasher use rather than evaluating this sector separately. </w:t>
      </w:r>
      <w:r>
        <w:t xml:space="preserve">The dishwasher use is expected to be minor in the commercial sector, as it would be much smaller than the residential sector dishwasher consumption.  </w:t>
      </w:r>
    </w:p>
    <w:p w:rsidR="00000000" w:rsidRDefault="00D35856">
      <w:pPr>
        <w:pStyle w:val="Heading3"/>
        <w:keepNext w:val="0"/>
        <w:pageBreakBefore/>
        <w:numPr>
          <w:ilvl w:val="2"/>
          <w:numId w:val="3"/>
        </w:numPr>
        <w:tabs>
          <w:tab w:val="clear" w:pos="1440"/>
        </w:tabs>
        <w:ind w:left="851" w:hanging="851"/>
        <w:rPr>
          <w:color w:val="auto"/>
        </w:rPr>
      </w:pPr>
      <w:bookmarkStart w:id="88" w:name="_Toc190583788"/>
      <w:bookmarkStart w:id="89" w:name="_Toc191452230"/>
      <w:bookmarkStart w:id="90" w:name="_Toc199933740"/>
      <w:r>
        <w:rPr>
          <w:color w:val="auto"/>
        </w:rPr>
        <w:lastRenderedPageBreak/>
        <w:t>Showerheads</w:t>
      </w:r>
      <w:bookmarkEnd w:id="88"/>
      <w:bookmarkEnd w:id="89"/>
      <w:bookmarkEnd w:id="90"/>
    </w:p>
    <w:p w:rsidR="00000000" w:rsidRDefault="00D35856">
      <w:pPr>
        <w:keepNext w:val="0"/>
      </w:pPr>
      <w:r>
        <w:t>Showerheads are the most significant indoor end use of water in Australian homes and whilst this has lead to a significant uptake of more efficient showerheads through retrofit and exchange programs (e.g. approximately 400</w:t>
      </w:r>
      <w:r>
        <w:t> </w:t>
      </w:r>
      <w:r>
        <w:t>000 homes in Sydney), the on-goin</w:t>
      </w:r>
      <w:r>
        <w:t>g conservation potential available through the use of more efficient shower heads remains substantial. Consistent with the RIS (George Wilkenfeld and Associates, 2004) commercial showerheads have not been modelled as part of the residential stock.</w:t>
      </w:r>
    </w:p>
    <w:p w:rsidR="00000000" w:rsidRDefault="00D35856">
      <w:pPr>
        <w:pStyle w:val="Heading4"/>
        <w:keepNext w:val="0"/>
        <w:rPr>
          <w:color w:val="auto"/>
        </w:rPr>
      </w:pPr>
      <w:r>
        <w:rPr>
          <w:color w:val="auto"/>
        </w:rPr>
        <w:t>Table 3-</w:t>
      </w:r>
      <w:r>
        <w:rPr>
          <w:color w:val="auto"/>
        </w:rPr>
        <w:t>5 – Showerheads – data sources for water savings</w:t>
      </w:r>
    </w:p>
    <w:tbl>
      <w:tblPr>
        <w:tblStyle w:val="TableGrid"/>
        <w:tblW w:w="8755" w:type="dxa"/>
        <w:tblLook w:val="01E0"/>
      </w:tblPr>
      <w:tblGrid>
        <w:gridCol w:w="1526"/>
        <w:gridCol w:w="2551"/>
        <w:gridCol w:w="4678"/>
      </w:tblGrid>
      <w:tr w:rsidR="00000000">
        <w:trPr>
          <w:trHeight w:val="314"/>
        </w:trPr>
        <w:tc>
          <w:tcPr>
            <w:tcW w:w="1526" w:type="dxa"/>
            <w:shd w:val="clear" w:color="auto" w:fill="CCCCCC"/>
          </w:tcPr>
          <w:p w:rsidR="00000000" w:rsidRDefault="00D35856">
            <w:pPr>
              <w:keepNext w:val="0"/>
              <w:spacing w:after="0"/>
              <w:rPr>
                <w:rFonts w:ascii="Arial" w:hAnsi="Arial" w:cs="Arial"/>
                <w:b/>
                <w:sz w:val="20"/>
              </w:rPr>
            </w:pPr>
            <w:r>
              <w:rPr>
                <w:rFonts w:ascii="Arial" w:hAnsi="Arial" w:cs="Arial"/>
                <w:b/>
                <w:sz w:val="20"/>
              </w:rPr>
              <w:t>Data Source</w:t>
            </w:r>
          </w:p>
        </w:tc>
        <w:tc>
          <w:tcPr>
            <w:tcW w:w="2551" w:type="dxa"/>
            <w:shd w:val="clear" w:color="auto" w:fill="CCCCCC"/>
          </w:tcPr>
          <w:p w:rsidR="00000000" w:rsidRDefault="00D35856">
            <w:pPr>
              <w:keepNext w:val="0"/>
              <w:spacing w:after="0"/>
              <w:jc w:val="center"/>
              <w:rPr>
                <w:rFonts w:ascii="Arial" w:hAnsi="Arial" w:cs="Arial"/>
                <w:b/>
                <w:sz w:val="20"/>
              </w:rPr>
            </w:pPr>
            <w:r>
              <w:rPr>
                <w:rFonts w:ascii="Arial" w:hAnsi="Arial" w:cs="Arial"/>
                <w:b/>
                <w:sz w:val="20"/>
              </w:rPr>
              <w:t>Components / Detail</w:t>
            </w:r>
          </w:p>
        </w:tc>
        <w:tc>
          <w:tcPr>
            <w:tcW w:w="4678" w:type="dxa"/>
            <w:shd w:val="clear" w:color="auto" w:fill="CCCCCC"/>
          </w:tcPr>
          <w:p w:rsidR="00000000" w:rsidRDefault="00D35856">
            <w:pPr>
              <w:keepNext w:val="0"/>
              <w:spacing w:after="0"/>
              <w:jc w:val="center"/>
              <w:rPr>
                <w:rFonts w:ascii="Arial" w:hAnsi="Arial" w:cs="Arial"/>
                <w:b/>
                <w:sz w:val="20"/>
              </w:rPr>
            </w:pPr>
            <w:r>
              <w:rPr>
                <w:rFonts w:ascii="Arial" w:hAnsi="Arial" w:cs="Arial"/>
                <w:b/>
                <w:sz w:val="20"/>
              </w:rPr>
              <w:t>Comment</w:t>
            </w:r>
          </w:p>
        </w:tc>
      </w:tr>
      <w:tr w:rsidR="00000000">
        <w:tc>
          <w:tcPr>
            <w:tcW w:w="1526" w:type="dxa"/>
          </w:tcPr>
          <w:p w:rsidR="00000000" w:rsidRDefault="00D35856">
            <w:pPr>
              <w:keepNext w:val="0"/>
              <w:spacing w:after="0"/>
              <w:rPr>
                <w:rFonts w:ascii="Arial" w:hAnsi="Arial" w:cs="Arial"/>
                <w:sz w:val="18"/>
              </w:rPr>
            </w:pPr>
            <w:r>
              <w:rPr>
                <w:rFonts w:ascii="Arial" w:hAnsi="Arial" w:cs="Arial"/>
                <w:sz w:val="18"/>
              </w:rPr>
              <w:t>1. George Wilkenfeld and Associates Model for RIS (2004)</w:t>
            </w:r>
          </w:p>
        </w:tc>
        <w:tc>
          <w:tcPr>
            <w:tcW w:w="2551" w:type="dxa"/>
          </w:tcPr>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Water savings by State / Nationally</w:t>
            </w:r>
          </w:p>
          <w:p w:rsidR="00000000" w:rsidRDefault="00D35856">
            <w:pPr>
              <w:keepNext w:val="0"/>
              <w:spacing w:after="0"/>
              <w:rPr>
                <w:rFonts w:ascii="Arial" w:hAnsi="Arial" w:cs="Arial"/>
                <w:sz w:val="18"/>
              </w:rPr>
            </w:pPr>
          </w:p>
        </w:tc>
        <w:tc>
          <w:tcPr>
            <w:tcW w:w="4678" w:type="dxa"/>
          </w:tcPr>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Based on changing trends in showerhead efficiency, predicted future sales, predicted declining occupancy ratio and a distribution of usage rates per person per year into the future</w:t>
            </w:r>
          </w:p>
        </w:tc>
      </w:tr>
      <w:tr w:rsidR="00000000">
        <w:tc>
          <w:tcPr>
            <w:tcW w:w="1526" w:type="dxa"/>
          </w:tcPr>
          <w:p w:rsidR="00000000" w:rsidRDefault="00D35856">
            <w:pPr>
              <w:keepNext w:val="0"/>
              <w:spacing w:after="0"/>
              <w:rPr>
                <w:rFonts w:ascii="Arial" w:hAnsi="Arial" w:cs="Arial"/>
                <w:sz w:val="18"/>
              </w:rPr>
            </w:pPr>
            <w:r>
              <w:rPr>
                <w:rFonts w:ascii="Arial" w:hAnsi="Arial" w:cs="Arial"/>
                <w:sz w:val="18"/>
              </w:rPr>
              <w:t>2. ABS 4602.0</w:t>
            </w:r>
          </w:p>
        </w:tc>
        <w:tc>
          <w:tcPr>
            <w:tcW w:w="2551" w:type="dxa"/>
          </w:tcPr>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Uptake of efficient showerheads</w:t>
            </w:r>
          </w:p>
        </w:tc>
        <w:tc>
          <w:tcPr>
            <w:tcW w:w="4678" w:type="dxa"/>
          </w:tcPr>
          <w:p w:rsidR="00000000" w:rsidRDefault="00D35856">
            <w:pPr>
              <w:keepNext w:val="0"/>
              <w:numPr>
                <w:ilvl w:val="1"/>
                <w:numId w:val="5"/>
              </w:numPr>
              <w:tabs>
                <w:tab w:val="clear" w:pos="1443"/>
                <w:tab w:val="num" w:pos="276"/>
              </w:tabs>
              <w:spacing w:after="0"/>
              <w:ind w:left="276" w:hanging="221"/>
              <w:rPr>
                <w:rFonts w:ascii="Arial" w:hAnsi="Arial" w:cs="Arial"/>
                <w:sz w:val="18"/>
                <w:szCs w:val="18"/>
              </w:rPr>
            </w:pPr>
            <w:r>
              <w:rPr>
                <w:rFonts w:ascii="Arial" w:hAnsi="Arial" w:cs="Arial"/>
                <w:sz w:val="18"/>
                <w:szCs w:val="18"/>
              </w:rPr>
              <w:t xml:space="preserve">Latest version has data </w:t>
            </w:r>
            <w:r>
              <w:rPr>
                <w:rFonts w:ascii="Arial" w:hAnsi="Arial" w:cs="Arial"/>
                <w:sz w:val="18"/>
                <w:szCs w:val="18"/>
              </w:rPr>
              <w:t xml:space="preserve">from 1994, 2001 and 2007 broken down by state as shown in </w:t>
            </w:r>
            <w:r>
              <w:rPr>
                <w:rFonts w:ascii="Arial" w:hAnsi="Arial" w:cs="Arial"/>
                <w:sz w:val="18"/>
                <w:szCs w:val="18"/>
              </w:rPr>
              <w:fldChar w:fldCharType="begin"/>
            </w:r>
            <w:r>
              <w:rPr>
                <w:rFonts w:ascii="Arial" w:hAnsi="Arial" w:cs="Arial"/>
                <w:sz w:val="18"/>
                <w:szCs w:val="18"/>
              </w:rPr>
              <w:instrText xml:space="preserve"> REF _Ref187838686 \h </w:instrText>
            </w:r>
            <w:r w:rsidR="00D87CE9">
              <w:rPr>
                <w:rFonts w:ascii="Arial" w:hAnsi="Arial" w:cs="Arial"/>
                <w:sz w:val="18"/>
                <w:szCs w:val="18"/>
              </w:rPr>
            </w:r>
            <w:r>
              <w:rPr>
                <w:rFonts w:ascii="Arial" w:hAnsi="Arial" w:cs="Arial"/>
                <w:sz w:val="18"/>
                <w:szCs w:val="18"/>
              </w:rPr>
              <w:instrText xml:space="preserve"> \* MERGEFORMAT </w:instrText>
            </w:r>
            <w:r>
              <w:rPr>
                <w:rFonts w:ascii="Arial" w:hAnsi="Arial" w:cs="Arial"/>
                <w:sz w:val="18"/>
                <w:szCs w:val="18"/>
              </w:rPr>
              <w:fldChar w:fldCharType="separate"/>
            </w:r>
          </w:p>
          <w:p w:rsidR="00000000" w:rsidRDefault="00D35856">
            <w:pPr>
              <w:keepNext w:val="0"/>
              <w:numPr>
                <w:ilvl w:val="1"/>
                <w:numId w:val="5"/>
              </w:numPr>
              <w:tabs>
                <w:tab w:val="clear" w:pos="1443"/>
                <w:tab w:val="num" w:pos="276"/>
              </w:tabs>
              <w:spacing w:after="0"/>
              <w:ind w:left="276" w:hanging="221"/>
              <w:rPr>
                <w:rFonts w:ascii="Arial" w:hAnsi="Arial" w:cs="Arial"/>
                <w:sz w:val="18"/>
                <w:szCs w:val="18"/>
              </w:rPr>
            </w:pPr>
            <w:r>
              <w:rPr>
                <w:rFonts w:ascii="Arial" w:hAnsi="Arial" w:cs="Arial"/>
                <w:sz w:val="18"/>
                <w:szCs w:val="18"/>
              </w:rPr>
              <w:t>Figure</w:t>
            </w:r>
            <w:r>
              <w:rPr>
                <w:rFonts w:ascii="Arial" w:hAnsi="Arial" w:cs="Arial"/>
                <w:noProof/>
                <w:sz w:val="18"/>
                <w:szCs w:val="18"/>
              </w:rPr>
              <w:t xml:space="preserve"> 3</w:t>
            </w:r>
            <w:r>
              <w:rPr>
                <w:rFonts w:ascii="Arial" w:hAnsi="Arial" w:cs="Arial"/>
                <w:noProof/>
                <w:sz w:val="18"/>
                <w:szCs w:val="18"/>
              </w:rPr>
              <w:noBreakHyphen/>
            </w:r>
            <w:r>
              <w:rPr>
                <w:rFonts w:ascii="Arial" w:hAnsi="Arial" w:cs="Arial"/>
                <w:sz w:val="18"/>
                <w:szCs w:val="18"/>
              </w:rPr>
              <w:fldChar w:fldCharType="end"/>
            </w:r>
            <w:r>
              <w:rPr>
                <w:rFonts w:ascii="Arial" w:hAnsi="Arial" w:cs="Arial"/>
                <w:sz w:val="18"/>
                <w:szCs w:val="18"/>
              </w:rPr>
              <w:t>9</w:t>
            </w:r>
          </w:p>
        </w:tc>
      </w:tr>
      <w:tr w:rsidR="00000000">
        <w:tc>
          <w:tcPr>
            <w:tcW w:w="1526" w:type="dxa"/>
          </w:tcPr>
          <w:p w:rsidR="00000000" w:rsidRDefault="00D35856">
            <w:pPr>
              <w:keepNext w:val="0"/>
              <w:spacing w:after="0"/>
              <w:rPr>
                <w:rFonts w:ascii="Arial" w:hAnsi="Arial" w:cs="Arial"/>
                <w:sz w:val="18"/>
              </w:rPr>
            </w:pPr>
            <w:r>
              <w:rPr>
                <w:rFonts w:ascii="Arial" w:hAnsi="Arial" w:cs="Arial"/>
                <w:sz w:val="18"/>
              </w:rPr>
              <w:t xml:space="preserve">3. </w:t>
            </w:r>
            <w:smartTag w:uri="urn:schemas-microsoft-com:office:smarttags" w:element="City">
              <w:r>
                <w:rPr>
                  <w:rFonts w:ascii="Arial" w:hAnsi="Arial" w:cs="Arial"/>
                  <w:sz w:val="18"/>
                </w:rPr>
                <w:t>WELS</w:t>
              </w:r>
            </w:smartTag>
            <w:r>
              <w:rPr>
                <w:rFonts w:ascii="Arial" w:hAnsi="Arial" w:cs="Arial"/>
                <w:sz w:val="18"/>
              </w:rPr>
              <w:t xml:space="preserve"> database</w:t>
            </w:r>
          </w:p>
        </w:tc>
        <w:tc>
          <w:tcPr>
            <w:tcW w:w="2551" w:type="dxa"/>
          </w:tcPr>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Number of models registered</w:t>
            </w:r>
          </w:p>
        </w:tc>
        <w:tc>
          <w:tcPr>
            <w:tcW w:w="4678" w:type="dxa"/>
          </w:tcPr>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Shows flow rate of pr</w:t>
            </w:r>
            <w:r>
              <w:rPr>
                <w:rFonts w:ascii="Arial" w:hAnsi="Arial" w:cs="Arial"/>
                <w:sz w:val="18"/>
              </w:rPr>
              <w:t>oducts</w:t>
            </w:r>
          </w:p>
        </w:tc>
      </w:tr>
      <w:tr w:rsidR="00000000">
        <w:tc>
          <w:tcPr>
            <w:tcW w:w="1526" w:type="dxa"/>
          </w:tcPr>
          <w:p w:rsidR="00000000" w:rsidRDefault="00D35856">
            <w:pPr>
              <w:keepNext w:val="0"/>
              <w:spacing w:after="0"/>
              <w:rPr>
                <w:rFonts w:ascii="Arial" w:hAnsi="Arial" w:cs="Arial"/>
                <w:sz w:val="18"/>
              </w:rPr>
            </w:pPr>
            <w:r>
              <w:rPr>
                <w:rFonts w:ascii="Arial" w:hAnsi="Arial" w:cs="Arial"/>
                <w:sz w:val="18"/>
              </w:rPr>
              <w:t>4. Sales data (unavailable)</w:t>
            </w:r>
          </w:p>
        </w:tc>
        <w:tc>
          <w:tcPr>
            <w:tcW w:w="2551" w:type="dxa"/>
          </w:tcPr>
          <w:p w:rsidR="00000000" w:rsidRDefault="00D35856">
            <w:pPr>
              <w:keepNext w:val="0"/>
              <w:spacing w:after="0"/>
              <w:ind w:left="55"/>
              <w:rPr>
                <w:rFonts w:ascii="Arial" w:hAnsi="Arial" w:cs="Arial"/>
                <w:sz w:val="18"/>
              </w:rPr>
            </w:pPr>
          </w:p>
        </w:tc>
        <w:tc>
          <w:tcPr>
            <w:tcW w:w="4678" w:type="dxa"/>
          </w:tcPr>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Would be useful but currently not collected (as it is for dishwashers and clothes washers)</w:t>
            </w:r>
          </w:p>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Information on commercial market size from hotels, hospitals, gymnasiums, schools and other non-residential installations would be beneficial</w:t>
            </w:r>
          </w:p>
        </w:tc>
      </w:tr>
    </w:tbl>
    <w:p w:rsidR="00000000" w:rsidRDefault="00D35856">
      <w:bookmarkStart w:id="91" w:name="_Ref187838686"/>
      <w:bookmarkStart w:id="92" w:name="_Toc191475259"/>
    </w:p>
    <w:p w:rsidR="00000000" w:rsidRDefault="00D35856">
      <w:pPr>
        <w:pStyle w:val="Caption"/>
        <w:keepNext w:val="0"/>
      </w:pPr>
      <w:bookmarkStart w:id="93" w:name="_Toc199933822"/>
      <w:r>
        <w:t xml:space="preserve">Figure </w:t>
      </w:r>
      <w:r>
        <w:fldChar w:fldCharType="begin"/>
      </w:r>
      <w:r>
        <w:instrText xml:space="preserve"> STYLEREF 1 \s </w:instrText>
      </w:r>
      <w:r>
        <w:fldChar w:fldCharType="separate"/>
      </w:r>
      <w:r>
        <w:rPr>
          <w:noProof/>
        </w:rPr>
        <w:t>3</w:t>
      </w:r>
      <w:r>
        <w:fldChar w:fldCharType="end"/>
      </w:r>
      <w:r>
        <w:noBreakHyphen/>
      </w:r>
      <w:bookmarkEnd w:id="91"/>
      <w:r>
        <w:t>9: Households with water-efficien</w:t>
      </w:r>
      <w:r>
        <w:t>t shower heads installed (ABS 4602.0 (2007), Graph 4.4, p47)</w:t>
      </w:r>
      <w:bookmarkEnd w:id="92"/>
      <w:bookmarkEnd w:id="93"/>
    </w:p>
    <w:p w:rsidR="00000000" w:rsidRDefault="00D35856">
      <w:pPr>
        <w:keepNext w:val="0"/>
        <w:jc w:val="center"/>
      </w:pPr>
      <w:r>
        <w:rPr>
          <w:noProof/>
          <w:lang w:eastAsia="en-AU"/>
        </w:rPr>
        <w:drawing>
          <wp:inline distT="0" distB="0" distL="0" distR="0">
            <wp:extent cx="4152900" cy="2331720"/>
            <wp:effectExtent l="19050" t="0" r="0" b="0"/>
            <wp:docPr id="16" name="Picture 16" descr="Fig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ure 3-9"/>
                    <pic:cNvPicPr>
                      <a:picLocks noChangeAspect="1" noChangeArrowheads="1"/>
                    </pic:cNvPicPr>
                  </pic:nvPicPr>
                  <pic:blipFill>
                    <a:blip r:embed="rId29"/>
                    <a:srcRect t="13461"/>
                    <a:stretch>
                      <a:fillRect/>
                    </a:stretch>
                  </pic:blipFill>
                  <pic:spPr bwMode="auto">
                    <a:xfrm>
                      <a:off x="0" y="0"/>
                      <a:ext cx="4152900" cy="2331720"/>
                    </a:xfrm>
                    <a:prstGeom prst="rect">
                      <a:avLst/>
                    </a:prstGeom>
                    <a:noFill/>
                    <a:ln w="9525">
                      <a:noFill/>
                      <a:miter lim="800000"/>
                      <a:headEnd/>
                      <a:tailEnd/>
                    </a:ln>
                  </pic:spPr>
                </pic:pic>
              </a:graphicData>
            </a:graphic>
          </wp:inline>
        </w:drawing>
      </w:r>
    </w:p>
    <w:p w:rsidR="00000000" w:rsidRDefault="00D35856">
      <w:pPr>
        <w:keepNext w:val="0"/>
        <w:rPr>
          <w:noProof/>
        </w:rPr>
      </w:pPr>
      <w:r>
        <w:t xml:space="preserve">Comparing the data gathered in </w:t>
      </w:r>
      <w:r>
        <w:fldChar w:fldCharType="begin"/>
      </w:r>
      <w:r>
        <w:instrText xml:space="preserve"> REF _Ref187838686 \h </w:instrText>
      </w:r>
      <w:r>
        <w:instrText xml:space="preserve"> \* MERGEFORMAT </w:instrText>
      </w:r>
      <w:r>
        <w:fldChar w:fldCharType="separate"/>
      </w:r>
    </w:p>
    <w:p w:rsidR="00000000" w:rsidRDefault="00D35856">
      <w:pPr>
        <w:keepNext w:val="0"/>
      </w:pPr>
      <w:r>
        <w:rPr>
          <w:noProof/>
        </w:rPr>
        <w:t>Figure 3</w:t>
      </w:r>
      <w:r>
        <w:rPr>
          <w:noProof/>
        </w:rPr>
        <w:noBreakHyphen/>
      </w:r>
      <w:r>
        <w:fldChar w:fldCharType="end"/>
      </w:r>
      <w:r>
        <w:t>9 on the presence of installed efficient showerheads with the predictions generated for the RIS (George Wilkenfeld and Associates, 2004) for both the business as usual scenario (</w:t>
      </w:r>
      <w:fldSimple w:instr=" REF _Ref187838732 \h  \* MERGEFORMAT ">
        <w:r>
          <w:t xml:space="preserve">Figure </w:t>
        </w:r>
        <w:r>
          <w:rPr>
            <w:noProof/>
          </w:rPr>
          <w:t>3</w:t>
        </w:r>
        <w:r>
          <w:rPr>
            <w:noProof/>
          </w:rPr>
          <w:noBreakHyphen/>
        </w:r>
      </w:fldSimple>
      <w:r>
        <w:t>10) and the 'with labelling' scenario (</w:t>
      </w:r>
      <w:fldSimple w:instr=" REF _Ref187838750 \h  \* MERGEFORMAT ">
        <w:r>
          <w:t xml:space="preserve">Figure </w:t>
        </w:r>
        <w:r>
          <w:rPr>
            <w:noProof/>
          </w:rPr>
          <w:t>3</w:t>
        </w:r>
        <w:r>
          <w:rPr>
            <w:noProof/>
          </w:rPr>
          <w:noBreakHyphen/>
        </w:r>
      </w:fldSimple>
      <w:r>
        <w:t>11), the</w:t>
      </w:r>
      <w:r>
        <w:t xml:space="preserve"> actual installation rate achieved is represented by a yellow star in </w:t>
      </w:r>
      <w:fldSimple w:instr=" REF _Ref187838750 \h  \* MERGEFORMAT ">
        <w:r>
          <w:t xml:space="preserve">Figure </w:t>
        </w:r>
        <w:r>
          <w:rPr>
            <w:noProof/>
          </w:rPr>
          <w:t>3</w:t>
        </w:r>
        <w:r>
          <w:rPr>
            <w:noProof/>
          </w:rPr>
          <w:noBreakHyphen/>
        </w:r>
      </w:fldSimple>
      <w:r>
        <w:t>11.</w:t>
      </w:r>
    </w:p>
    <w:p w:rsidR="00000000" w:rsidRDefault="00D35856">
      <w:pPr>
        <w:pStyle w:val="Caption"/>
      </w:pPr>
      <w:bookmarkStart w:id="94" w:name="_Ref187838732"/>
      <w:bookmarkStart w:id="95" w:name="_Toc191475260"/>
      <w:bookmarkStart w:id="96" w:name="_Toc199933823"/>
      <w:r>
        <w:lastRenderedPageBreak/>
        <w:t xml:space="preserve">Figure </w:t>
      </w:r>
      <w:r>
        <w:fldChar w:fldCharType="begin"/>
      </w:r>
      <w:r>
        <w:instrText xml:space="preserve"> STYLEREF 1 \s </w:instrText>
      </w:r>
      <w:r>
        <w:fldChar w:fldCharType="separate"/>
      </w:r>
      <w:r>
        <w:rPr>
          <w:noProof/>
        </w:rPr>
        <w:t>3</w:t>
      </w:r>
      <w:r>
        <w:fldChar w:fldCharType="end"/>
      </w:r>
      <w:r>
        <w:noBreakHyphen/>
      </w:r>
      <w:bookmarkEnd w:id="94"/>
      <w:r>
        <w:t>10: RIS modelled stock of showerheads 'business as usual' (George Wilkenfeld and Associates, 2004)</w:t>
      </w:r>
      <w:bookmarkEnd w:id="95"/>
      <w:bookmarkEnd w:id="96"/>
    </w:p>
    <w:p w:rsidR="00000000" w:rsidRDefault="00D35856">
      <w:r>
        <w:rPr>
          <w:noProof/>
          <w:lang w:eastAsia="en-AU"/>
        </w:rPr>
        <w:drawing>
          <wp:inline distT="0" distB="0" distL="0" distR="0">
            <wp:extent cx="5463540" cy="2545080"/>
            <wp:effectExtent l="0" t="0" r="0" b="0"/>
            <wp:docPr id="17" name="Picture 17" descr="Fig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ure 3-10"/>
                    <pic:cNvPicPr>
                      <a:picLocks noChangeAspect="1" noChangeArrowheads="1"/>
                    </pic:cNvPicPr>
                  </pic:nvPicPr>
                  <pic:blipFill>
                    <a:blip r:embed="rId30"/>
                    <a:srcRect/>
                    <a:stretch>
                      <a:fillRect/>
                    </a:stretch>
                  </pic:blipFill>
                  <pic:spPr bwMode="auto">
                    <a:xfrm>
                      <a:off x="0" y="0"/>
                      <a:ext cx="5463540" cy="2545080"/>
                    </a:xfrm>
                    <a:prstGeom prst="rect">
                      <a:avLst/>
                    </a:prstGeom>
                    <a:noFill/>
                    <a:ln w="9525">
                      <a:noFill/>
                      <a:miter lim="800000"/>
                      <a:headEnd/>
                      <a:tailEnd/>
                    </a:ln>
                  </pic:spPr>
                </pic:pic>
              </a:graphicData>
            </a:graphic>
          </wp:inline>
        </w:drawing>
      </w:r>
    </w:p>
    <w:p w:rsidR="00000000" w:rsidRDefault="00D35856">
      <w:pPr>
        <w:pStyle w:val="Caption"/>
        <w:keepNext w:val="0"/>
      </w:pPr>
      <w:bookmarkStart w:id="97" w:name="_Ref187838750"/>
      <w:bookmarkStart w:id="98" w:name="_Toc191475261"/>
      <w:bookmarkStart w:id="99" w:name="_Toc199933824"/>
      <w:r>
        <w:t>F</w:t>
      </w:r>
      <w:r>
        <w:t xml:space="preserve">igure </w:t>
      </w:r>
      <w:r>
        <w:fldChar w:fldCharType="begin"/>
      </w:r>
      <w:r>
        <w:instrText xml:space="preserve"> STYLEREF 1 \s </w:instrText>
      </w:r>
      <w:r>
        <w:fldChar w:fldCharType="separate"/>
      </w:r>
      <w:r>
        <w:rPr>
          <w:noProof/>
        </w:rPr>
        <w:t>3</w:t>
      </w:r>
      <w:r>
        <w:fldChar w:fldCharType="end"/>
      </w:r>
      <w:r>
        <w:noBreakHyphen/>
      </w:r>
      <w:bookmarkEnd w:id="97"/>
      <w:r>
        <w:t>11: RIS modelled stock of showerheads 'with labelling' (George Wilkenfeld and Associates, 2004)</w:t>
      </w:r>
      <w:bookmarkEnd w:id="98"/>
      <w:bookmarkEnd w:id="99"/>
    </w:p>
    <w:p w:rsidR="00000000" w:rsidRDefault="00D35856">
      <w:pPr>
        <w:keepNext w:val="0"/>
      </w:pPr>
      <w:r>
        <w:rPr>
          <w:noProof/>
          <w:lang w:eastAsia="en-AU"/>
        </w:rPr>
        <w:drawing>
          <wp:inline distT="0" distB="0" distL="0" distR="0">
            <wp:extent cx="5463540" cy="2712720"/>
            <wp:effectExtent l="0" t="0" r="0" b="0"/>
            <wp:docPr id="18" name="Picture 18" descr="Fig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ure 3-11"/>
                    <pic:cNvPicPr>
                      <a:picLocks noChangeAspect="1" noChangeArrowheads="1"/>
                    </pic:cNvPicPr>
                  </pic:nvPicPr>
                  <pic:blipFill>
                    <a:blip r:embed="rId31"/>
                    <a:srcRect/>
                    <a:stretch>
                      <a:fillRect/>
                    </a:stretch>
                  </pic:blipFill>
                  <pic:spPr bwMode="auto">
                    <a:xfrm>
                      <a:off x="0" y="0"/>
                      <a:ext cx="5463540" cy="2712720"/>
                    </a:xfrm>
                    <a:prstGeom prst="rect">
                      <a:avLst/>
                    </a:prstGeom>
                    <a:noFill/>
                    <a:ln w="9525">
                      <a:noFill/>
                      <a:miter lim="800000"/>
                      <a:headEnd/>
                      <a:tailEnd/>
                    </a:ln>
                  </pic:spPr>
                </pic:pic>
              </a:graphicData>
            </a:graphic>
          </wp:inline>
        </w:drawing>
      </w:r>
    </w:p>
    <w:p w:rsidR="00000000" w:rsidRDefault="00D35856">
      <w:pPr>
        <w:keepNext w:val="0"/>
        <w:rPr>
          <w:b/>
        </w:rPr>
      </w:pPr>
      <w:r>
        <w:rPr>
          <w:b/>
        </w:rPr>
        <w:t>Modelling approa</w:t>
      </w:r>
      <w:r>
        <w:rPr>
          <w:b/>
        </w:rPr>
        <w:t>ch and key assumptions</w:t>
      </w:r>
    </w:p>
    <w:p w:rsidR="00000000" w:rsidRDefault="00D35856">
      <w:pPr>
        <w:keepNext w:val="0"/>
      </w:pPr>
      <w:r>
        <w:t xml:space="preserve">For the shower savings modelling, the RIS model was used with updated assumptions for efficient showerhead uptake. Assumptions for all scenarios are listed in </w:t>
      </w:r>
      <w:fldSimple w:instr=" REF _Ref188101056 \h  \* MERGEFORMAT ">
        <w:r>
          <w:t xml:space="preserve">Table </w:t>
        </w:r>
        <w:r>
          <w:rPr>
            <w:noProof/>
          </w:rPr>
          <w:t>3</w:t>
        </w:r>
        <w:r>
          <w:rPr>
            <w:noProof/>
          </w:rPr>
          <w:noBreakHyphen/>
        </w:r>
      </w:fldSimple>
      <w:r>
        <w:t xml:space="preserve">6, </w:t>
      </w:r>
      <w:fldSimple w:instr=" REF _Ref188101057 \h  \* MERGEFORMAT ">
        <w:r>
          <w:t xml:space="preserve">Table </w:t>
        </w:r>
        <w:r>
          <w:rPr>
            <w:noProof/>
          </w:rPr>
          <w:t>3</w:t>
        </w:r>
        <w:r>
          <w:rPr>
            <w:noProof/>
          </w:rPr>
          <w:noBreakHyphen/>
        </w:r>
      </w:fldSimple>
      <w:r>
        <w:t xml:space="preserve">7 and </w:t>
      </w:r>
      <w:fldSimple w:instr=" REF _Ref188101060 \h  \* MERGEFORMAT ">
        <w:r>
          <w:t xml:space="preserve">Table </w:t>
        </w:r>
        <w:r>
          <w:rPr>
            <w:noProof/>
          </w:rPr>
          <w:t>3</w:t>
        </w:r>
        <w:r>
          <w:rPr>
            <w:noProof/>
          </w:rPr>
          <w:noBreakHyphen/>
        </w:r>
      </w:fldSimple>
      <w:r>
        <w:t>8.</w:t>
      </w:r>
    </w:p>
    <w:p w:rsidR="00000000" w:rsidRDefault="00D35856">
      <w:pPr>
        <w:pStyle w:val="Caption"/>
        <w:keepNext w:val="0"/>
      </w:pPr>
      <w:bookmarkStart w:id="100" w:name="_Ref188101056"/>
      <w:bookmarkStart w:id="101" w:name="_Toc199933789"/>
      <w:r>
        <w:t xml:space="preserve">Table </w:t>
      </w:r>
      <w:r>
        <w:fldChar w:fldCharType="begin"/>
      </w:r>
      <w:r>
        <w:instrText xml:space="preserve"> STYLEREF 1 \s </w:instrText>
      </w:r>
      <w:r>
        <w:fldChar w:fldCharType="separate"/>
      </w:r>
      <w:r>
        <w:rPr>
          <w:noProof/>
        </w:rPr>
        <w:t>3</w:t>
      </w:r>
      <w:r>
        <w:fldChar w:fldCharType="end"/>
      </w:r>
      <w:r>
        <w:noBreakHyphen/>
      </w:r>
      <w:bookmarkEnd w:id="100"/>
      <w:r>
        <w:t xml:space="preserve">6: RIS - Business as usual and 'without </w:t>
      </w:r>
      <w:smartTag w:uri="urn:schemas-microsoft-com:office:smarttags" w:element="City">
        <w:r>
          <w:t>WELS</w:t>
        </w:r>
      </w:smartTag>
      <w:r>
        <w:t>' scenario in this report</w:t>
      </w:r>
      <w:bookmarkEnd w:id="101"/>
    </w:p>
    <w:tbl>
      <w:tblPr>
        <w:tblStyle w:val="TableGrid"/>
        <w:tblW w:w="0" w:type="auto"/>
        <w:tblLook w:val="01E0"/>
      </w:tblPr>
      <w:tblGrid>
        <w:gridCol w:w="1446"/>
        <w:gridCol w:w="1347"/>
        <w:gridCol w:w="1626"/>
        <w:gridCol w:w="1439"/>
        <w:gridCol w:w="1436"/>
        <w:gridCol w:w="1420"/>
      </w:tblGrid>
      <w:tr w:rsidR="00000000">
        <w:tc>
          <w:tcPr>
            <w:tcW w:w="1446" w:type="dxa"/>
            <w:shd w:val="clear" w:color="auto" w:fill="C0C0C0"/>
          </w:tcPr>
          <w:p w:rsidR="00000000" w:rsidRDefault="00D35856">
            <w:pPr>
              <w:keepNext w:val="0"/>
              <w:spacing w:after="0"/>
              <w:rPr>
                <w:rFonts w:ascii="Arial" w:hAnsi="Arial" w:cs="Arial"/>
                <w:b/>
                <w:sz w:val="18"/>
                <w:szCs w:val="18"/>
              </w:rPr>
            </w:pPr>
            <w:r>
              <w:rPr>
                <w:rFonts w:ascii="Arial" w:hAnsi="Arial" w:cs="Arial"/>
                <w:b/>
                <w:sz w:val="18"/>
                <w:szCs w:val="18"/>
              </w:rPr>
              <w:t>Time</w:t>
            </w:r>
          </w:p>
        </w:tc>
        <w:tc>
          <w:tcPr>
            <w:tcW w:w="1347" w:type="dxa"/>
            <w:shd w:val="clear" w:color="auto" w:fill="C0C0C0"/>
          </w:tcPr>
          <w:p w:rsidR="00000000" w:rsidRDefault="00D35856">
            <w:pPr>
              <w:keepNext w:val="0"/>
              <w:spacing w:after="0"/>
              <w:rPr>
                <w:rFonts w:ascii="Arial" w:hAnsi="Arial" w:cs="Arial"/>
                <w:b/>
                <w:sz w:val="18"/>
                <w:szCs w:val="18"/>
              </w:rPr>
            </w:pPr>
            <w:r>
              <w:rPr>
                <w:rFonts w:ascii="Arial" w:hAnsi="Arial" w:cs="Arial"/>
                <w:b/>
                <w:sz w:val="18"/>
                <w:szCs w:val="18"/>
              </w:rPr>
              <w:t>New or renovated</w:t>
            </w:r>
          </w:p>
        </w:tc>
        <w:tc>
          <w:tcPr>
            <w:tcW w:w="1626" w:type="dxa"/>
            <w:shd w:val="clear" w:color="auto" w:fill="C0C0C0"/>
          </w:tcPr>
          <w:p w:rsidR="00000000" w:rsidRDefault="00D35856">
            <w:pPr>
              <w:keepNext w:val="0"/>
              <w:spacing w:after="0"/>
              <w:rPr>
                <w:rFonts w:ascii="Arial" w:hAnsi="Arial" w:cs="Arial"/>
                <w:b/>
                <w:sz w:val="18"/>
                <w:szCs w:val="18"/>
              </w:rPr>
            </w:pPr>
            <w:r>
              <w:rPr>
                <w:rFonts w:ascii="Arial" w:hAnsi="Arial" w:cs="Arial"/>
                <w:b/>
                <w:sz w:val="18"/>
                <w:szCs w:val="18"/>
              </w:rPr>
              <w:t>Showers/</w:t>
            </w:r>
            <w:r>
              <w:rPr>
                <w:rFonts w:ascii="Arial" w:hAnsi="Arial" w:cs="Arial"/>
                <w:b/>
                <w:sz w:val="18"/>
                <w:szCs w:val="18"/>
              </w:rPr>
              <w:br/>
              <w:t>dwelling</w:t>
            </w:r>
          </w:p>
        </w:tc>
        <w:tc>
          <w:tcPr>
            <w:tcW w:w="1439" w:type="dxa"/>
            <w:shd w:val="clear" w:color="auto" w:fill="C0C0C0"/>
          </w:tcPr>
          <w:p w:rsidR="00000000" w:rsidRDefault="00D35856">
            <w:pPr>
              <w:keepNext w:val="0"/>
              <w:spacing w:after="0"/>
              <w:rPr>
                <w:rFonts w:ascii="Arial" w:hAnsi="Arial" w:cs="Arial"/>
                <w:b/>
                <w:sz w:val="18"/>
                <w:szCs w:val="18"/>
              </w:rPr>
            </w:pPr>
            <w:r>
              <w:rPr>
                <w:rFonts w:ascii="Arial" w:hAnsi="Arial" w:cs="Arial"/>
                <w:b/>
                <w:sz w:val="18"/>
                <w:szCs w:val="18"/>
              </w:rPr>
              <w:t>Zero star</w:t>
            </w:r>
          </w:p>
        </w:tc>
        <w:tc>
          <w:tcPr>
            <w:tcW w:w="1436" w:type="dxa"/>
            <w:shd w:val="clear" w:color="auto" w:fill="C0C0C0"/>
          </w:tcPr>
          <w:p w:rsidR="00000000" w:rsidRDefault="00D35856">
            <w:pPr>
              <w:keepNext w:val="0"/>
              <w:spacing w:after="0"/>
              <w:rPr>
                <w:rFonts w:ascii="Arial" w:hAnsi="Arial" w:cs="Arial"/>
                <w:b/>
                <w:sz w:val="18"/>
                <w:szCs w:val="18"/>
              </w:rPr>
            </w:pPr>
            <w:r>
              <w:rPr>
                <w:rFonts w:ascii="Arial" w:hAnsi="Arial" w:cs="Arial"/>
                <w:b/>
                <w:sz w:val="18"/>
                <w:szCs w:val="18"/>
              </w:rPr>
              <w:t>3-star</w:t>
            </w:r>
          </w:p>
        </w:tc>
        <w:tc>
          <w:tcPr>
            <w:tcW w:w="1420" w:type="dxa"/>
            <w:shd w:val="clear" w:color="auto" w:fill="C0C0C0"/>
          </w:tcPr>
          <w:p w:rsidR="00000000" w:rsidRDefault="00D35856">
            <w:pPr>
              <w:keepNext w:val="0"/>
              <w:spacing w:after="0"/>
              <w:rPr>
                <w:rFonts w:ascii="Arial" w:hAnsi="Arial" w:cs="Arial"/>
                <w:b/>
                <w:sz w:val="18"/>
                <w:szCs w:val="18"/>
              </w:rPr>
            </w:pPr>
            <w:r>
              <w:rPr>
                <w:rFonts w:ascii="Arial" w:hAnsi="Arial" w:cs="Arial"/>
                <w:b/>
                <w:sz w:val="18"/>
                <w:szCs w:val="18"/>
              </w:rPr>
              <w:t>5-star</w:t>
            </w:r>
          </w:p>
        </w:tc>
      </w:tr>
      <w:tr w:rsidR="00000000">
        <w:tc>
          <w:tcPr>
            <w:tcW w:w="1446" w:type="dxa"/>
          </w:tcPr>
          <w:p w:rsidR="00000000" w:rsidRDefault="00D35856">
            <w:pPr>
              <w:keepNext w:val="0"/>
              <w:spacing w:after="0"/>
              <w:rPr>
                <w:rFonts w:ascii="Arial" w:hAnsi="Arial" w:cs="Arial"/>
                <w:sz w:val="18"/>
                <w:szCs w:val="18"/>
              </w:rPr>
            </w:pPr>
            <w:r>
              <w:rPr>
                <w:rFonts w:ascii="Arial" w:hAnsi="Arial" w:cs="Arial"/>
                <w:sz w:val="18"/>
                <w:szCs w:val="18"/>
              </w:rPr>
              <w:t>2002</w:t>
            </w:r>
          </w:p>
        </w:tc>
        <w:tc>
          <w:tcPr>
            <w:tcW w:w="1347" w:type="dxa"/>
          </w:tcPr>
          <w:p w:rsidR="00000000" w:rsidRDefault="00D35856">
            <w:pPr>
              <w:keepNext w:val="0"/>
              <w:spacing w:after="0"/>
              <w:rPr>
                <w:rFonts w:ascii="Arial" w:hAnsi="Arial" w:cs="Arial"/>
                <w:sz w:val="18"/>
                <w:szCs w:val="18"/>
              </w:rPr>
            </w:pPr>
            <w:r>
              <w:rPr>
                <w:rFonts w:ascii="Arial" w:hAnsi="Arial" w:cs="Arial"/>
                <w:sz w:val="18"/>
                <w:szCs w:val="18"/>
              </w:rPr>
              <w:t>New</w:t>
            </w:r>
          </w:p>
        </w:tc>
        <w:tc>
          <w:tcPr>
            <w:tcW w:w="1626" w:type="dxa"/>
          </w:tcPr>
          <w:p w:rsidR="00000000" w:rsidRDefault="00D35856">
            <w:pPr>
              <w:keepNext w:val="0"/>
              <w:spacing w:after="0"/>
              <w:rPr>
                <w:rFonts w:ascii="Arial" w:hAnsi="Arial" w:cs="Arial"/>
                <w:sz w:val="18"/>
                <w:szCs w:val="18"/>
              </w:rPr>
            </w:pPr>
            <w:r>
              <w:rPr>
                <w:rFonts w:ascii="Arial" w:hAnsi="Arial" w:cs="Arial"/>
                <w:sz w:val="18"/>
                <w:szCs w:val="18"/>
              </w:rPr>
              <w:t>1.5</w:t>
            </w:r>
          </w:p>
        </w:tc>
        <w:tc>
          <w:tcPr>
            <w:tcW w:w="1439" w:type="dxa"/>
          </w:tcPr>
          <w:p w:rsidR="00000000" w:rsidRDefault="00D35856">
            <w:pPr>
              <w:keepNext w:val="0"/>
              <w:spacing w:after="0"/>
              <w:rPr>
                <w:rFonts w:ascii="Arial" w:hAnsi="Arial" w:cs="Arial"/>
                <w:sz w:val="18"/>
                <w:szCs w:val="18"/>
              </w:rPr>
            </w:pPr>
            <w:r>
              <w:rPr>
                <w:rFonts w:ascii="Arial" w:hAnsi="Arial" w:cs="Arial"/>
                <w:sz w:val="18"/>
                <w:szCs w:val="18"/>
              </w:rPr>
              <w:t>90%</w:t>
            </w:r>
          </w:p>
        </w:tc>
        <w:tc>
          <w:tcPr>
            <w:tcW w:w="1436" w:type="dxa"/>
          </w:tcPr>
          <w:p w:rsidR="00000000" w:rsidRDefault="00D35856">
            <w:pPr>
              <w:keepNext w:val="0"/>
              <w:spacing w:after="0"/>
              <w:rPr>
                <w:rFonts w:ascii="Arial" w:hAnsi="Arial" w:cs="Arial"/>
                <w:sz w:val="18"/>
                <w:szCs w:val="18"/>
              </w:rPr>
            </w:pPr>
            <w:r>
              <w:rPr>
                <w:rFonts w:ascii="Arial" w:hAnsi="Arial" w:cs="Arial"/>
                <w:sz w:val="18"/>
                <w:szCs w:val="18"/>
              </w:rPr>
              <w:t>10%</w:t>
            </w:r>
          </w:p>
        </w:tc>
        <w:tc>
          <w:tcPr>
            <w:tcW w:w="1420" w:type="dxa"/>
          </w:tcPr>
          <w:p w:rsidR="00000000" w:rsidRDefault="00D35856">
            <w:pPr>
              <w:keepNext w:val="0"/>
              <w:spacing w:after="0"/>
              <w:rPr>
                <w:rFonts w:ascii="Arial" w:hAnsi="Arial" w:cs="Arial"/>
                <w:sz w:val="18"/>
                <w:szCs w:val="18"/>
              </w:rPr>
            </w:pPr>
            <w:r>
              <w:rPr>
                <w:rFonts w:ascii="Arial" w:hAnsi="Arial" w:cs="Arial"/>
                <w:sz w:val="18"/>
                <w:szCs w:val="18"/>
              </w:rPr>
              <w:t>0%</w:t>
            </w:r>
          </w:p>
        </w:tc>
      </w:tr>
      <w:tr w:rsidR="00000000">
        <w:tc>
          <w:tcPr>
            <w:tcW w:w="1446" w:type="dxa"/>
          </w:tcPr>
          <w:p w:rsidR="00000000" w:rsidRDefault="00D35856">
            <w:pPr>
              <w:keepNext w:val="0"/>
              <w:spacing w:after="0"/>
              <w:rPr>
                <w:rFonts w:ascii="Arial" w:hAnsi="Arial" w:cs="Arial"/>
                <w:sz w:val="18"/>
                <w:szCs w:val="18"/>
              </w:rPr>
            </w:pPr>
            <w:r>
              <w:rPr>
                <w:rFonts w:ascii="Arial" w:hAnsi="Arial" w:cs="Arial"/>
                <w:sz w:val="18"/>
                <w:szCs w:val="18"/>
              </w:rPr>
              <w:t>2021</w:t>
            </w:r>
          </w:p>
        </w:tc>
        <w:tc>
          <w:tcPr>
            <w:tcW w:w="1347" w:type="dxa"/>
          </w:tcPr>
          <w:p w:rsidR="00000000" w:rsidRDefault="00D35856">
            <w:pPr>
              <w:keepNext w:val="0"/>
              <w:spacing w:after="0"/>
              <w:rPr>
                <w:rFonts w:ascii="Arial" w:hAnsi="Arial" w:cs="Arial"/>
                <w:sz w:val="18"/>
                <w:szCs w:val="18"/>
              </w:rPr>
            </w:pPr>
            <w:r>
              <w:rPr>
                <w:rFonts w:ascii="Arial" w:hAnsi="Arial" w:cs="Arial"/>
                <w:sz w:val="18"/>
                <w:szCs w:val="18"/>
              </w:rPr>
              <w:t>New</w:t>
            </w:r>
          </w:p>
        </w:tc>
        <w:tc>
          <w:tcPr>
            <w:tcW w:w="1626" w:type="dxa"/>
          </w:tcPr>
          <w:p w:rsidR="00000000" w:rsidRDefault="00D35856">
            <w:pPr>
              <w:keepNext w:val="0"/>
              <w:spacing w:after="0"/>
              <w:rPr>
                <w:rFonts w:ascii="Arial" w:hAnsi="Arial" w:cs="Arial"/>
                <w:sz w:val="18"/>
                <w:szCs w:val="18"/>
              </w:rPr>
            </w:pPr>
            <w:r>
              <w:rPr>
                <w:rFonts w:ascii="Arial" w:hAnsi="Arial" w:cs="Arial"/>
                <w:sz w:val="18"/>
                <w:szCs w:val="18"/>
              </w:rPr>
              <w:t>1.7</w:t>
            </w:r>
          </w:p>
        </w:tc>
        <w:tc>
          <w:tcPr>
            <w:tcW w:w="1439" w:type="dxa"/>
          </w:tcPr>
          <w:p w:rsidR="00000000" w:rsidRDefault="00D35856">
            <w:pPr>
              <w:keepNext w:val="0"/>
              <w:spacing w:after="0"/>
              <w:rPr>
                <w:rFonts w:ascii="Arial" w:hAnsi="Arial" w:cs="Arial"/>
                <w:sz w:val="18"/>
                <w:szCs w:val="18"/>
              </w:rPr>
            </w:pPr>
            <w:r>
              <w:rPr>
                <w:rFonts w:ascii="Arial" w:hAnsi="Arial" w:cs="Arial"/>
                <w:sz w:val="18"/>
                <w:szCs w:val="18"/>
              </w:rPr>
              <w:t>80%</w:t>
            </w:r>
          </w:p>
        </w:tc>
        <w:tc>
          <w:tcPr>
            <w:tcW w:w="1436" w:type="dxa"/>
          </w:tcPr>
          <w:p w:rsidR="00000000" w:rsidRDefault="00D35856">
            <w:pPr>
              <w:keepNext w:val="0"/>
              <w:spacing w:after="0"/>
              <w:rPr>
                <w:rFonts w:ascii="Arial" w:hAnsi="Arial" w:cs="Arial"/>
                <w:sz w:val="18"/>
                <w:szCs w:val="18"/>
              </w:rPr>
            </w:pPr>
            <w:r>
              <w:rPr>
                <w:rFonts w:ascii="Arial" w:hAnsi="Arial" w:cs="Arial"/>
                <w:sz w:val="18"/>
                <w:szCs w:val="18"/>
              </w:rPr>
              <w:t>20%</w:t>
            </w:r>
          </w:p>
        </w:tc>
        <w:tc>
          <w:tcPr>
            <w:tcW w:w="1420" w:type="dxa"/>
          </w:tcPr>
          <w:p w:rsidR="00000000" w:rsidRDefault="00D35856">
            <w:pPr>
              <w:keepNext w:val="0"/>
              <w:spacing w:after="0"/>
              <w:rPr>
                <w:rFonts w:ascii="Arial" w:hAnsi="Arial" w:cs="Arial"/>
                <w:sz w:val="18"/>
                <w:szCs w:val="18"/>
              </w:rPr>
            </w:pPr>
            <w:r>
              <w:rPr>
                <w:rFonts w:ascii="Arial" w:hAnsi="Arial" w:cs="Arial"/>
                <w:sz w:val="18"/>
                <w:szCs w:val="18"/>
              </w:rPr>
              <w:t>0%</w:t>
            </w:r>
          </w:p>
        </w:tc>
      </w:tr>
      <w:tr w:rsidR="00000000">
        <w:tc>
          <w:tcPr>
            <w:tcW w:w="1446" w:type="dxa"/>
          </w:tcPr>
          <w:p w:rsidR="00000000" w:rsidRDefault="00D35856">
            <w:pPr>
              <w:keepNext w:val="0"/>
              <w:spacing w:after="0"/>
              <w:rPr>
                <w:rFonts w:ascii="Arial" w:hAnsi="Arial" w:cs="Arial"/>
                <w:sz w:val="18"/>
                <w:szCs w:val="18"/>
              </w:rPr>
            </w:pPr>
            <w:r>
              <w:rPr>
                <w:rFonts w:ascii="Arial" w:hAnsi="Arial" w:cs="Arial"/>
                <w:sz w:val="18"/>
                <w:szCs w:val="18"/>
              </w:rPr>
              <w:t>2002</w:t>
            </w:r>
          </w:p>
        </w:tc>
        <w:tc>
          <w:tcPr>
            <w:tcW w:w="1347" w:type="dxa"/>
          </w:tcPr>
          <w:p w:rsidR="00000000" w:rsidRDefault="00D35856">
            <w:pPr>
              <w:keepNext w:val="0"/>
              <w:spacing w:after="0"/>
              <w:rPr>
                <w:rFonts w:ascii="Arial" w:hAnsi="Arial" w:cs="Arial"/>
                <w:sz w:val="18"/>
                <w:szCs w:val="18"/>
              </w:rPr>
            </w:pPr>
            <w:r>
              <w:rPr>
                <w:rFonts w:ascii="Arial" w:hAnsi="Arial" w:cs="Arial"/>
                <w:sz w:val="18"/>
                <w:szCs w:val="18"/>
              </w:rPr>
              <w:t>Renovated</w:t>
            </w:r>
          </w:p>
        </w:tc>
        <w:tc>
          <w:tcPr>
            <w:tcW w:w="1626" w:type="dxa"/>
          </w:tcPr>
          <w:p w:rsidR="00000000" w:rsidRDefault="00D35856">
            <w:pPr>
              <w:keepNext w:val="0"/>
              <w:spacing w:after="0"/>
              <w:rPr>
                <w:rFonts w:ascii="Arial" w:hAnsi="Arial" w:cs="Arial"/>
                <w:sz w:val="18"/>
                <w:szCs w:val="18"/>
              </w:rPr>
            </w:pPr>
            <w:r>
              <w:rPr>
                <w:rFonts w:ascii="Arial" w:hAnsi="Arial" w:cs="Arial"/>
                <w:sz w:val="18"/>
                <w:szCs w:val="18"/>
              </w:rPr>
              <w:t>1.5</w:t>
            </w:r>
          </w:p>
        </w:tc>
        <w:tc>
          <w:tcPr>
            <w:tcW w:w="1439" w:type="dxa"/>
          </w:tcPr>
          <w:p w:rsidR="00000000" w:rsidRDefault="00D35856">
            <w:pPr>
              <w:keepNext w:val="0"/>
              <w:spacing w:after="0"/>
              <w:rPr>
                <w:rFonts w:ascii="Arial" w:hAnsi="Arial" w:cs="Arial"/>
                <w:sz w:val="18"/>
                <w:szCs w:val="18"/>
              </w:rPr>
            </w:pPr>
            <w:r>
              <w:rPr>
                <w:rFonts w:ascii="Arial" w:hAnsi="Arial" w:cs="Arial"/>
                <w:sz w:val="18"/>
                <w:szCs w:val="18"/>
              </w:rPr>
              <w:t>60%</w:t>
            </w:r>
          </w:p>
        </w:tc>
        <w:tc>
          <w:tcPr>
            <w:tcW w:w="1436" w:type="dxa"/>
          </w:tcPr>
          <w:p w:rsidR="00000000" w:rsidRDefault="00D35856">
            <w:pPr>
              <w:keepNext w:val="0"/>
              <w:spacing w:after="0"/>
              <w:rPr>
                <w:rFonts w:ascii="Arial" w:hAnsi="Arial" w:cs="Arial"/>
                <w:sz w:val="18"/>
                <w:szCs w:val="18"/>
              </w:rPr>
            </w:pPr>
            <w:r>
              <w:rPr>
                <w:rFonts w:ascii="Arial" w:hAnsi="Arial" w:cs="Arial"/>
                <w:sz w:val="18"/>
                <w:szCs w:val="18"/>
              </w:rPr>
              <w:t>40%</w:t>
            </w:r>
          </w:p>
        </w:tc>
        <w:tc>
          <w:tcPr>
            <w:tcW w:w="1420" w:type="dxa"/>
          </w:tcPr>
          <w:p w:rsidR="00000000" w:rsidRDefault="00D35856">
            <w:pPr>
              <w:keepNext w:val="0"/>
              <w:spacing w:after="0"/>
              <w:rPr>
                <w:rFonts w:ascii="Arial" w:hAnsi="Arial" w:cs="Arial"/>
                <w:sz w:val="18"/>
                <w:szCs w:val="18"/>
              </w:rPr>
            </w:pPr>
            <w:r>
              <w:rPr>
                <w:rFonts w:ascii="Arial" w:hAnsi="Arial" w:cs="Arial"/>
                <w:sz w:val="18"/>
                <w:szCs w:val="18"/>
              </w:rPr>
              <w:t xml:space="preserve">0% </w:t>
            </w:r>
          </w:p>
        </w:tc>
      </w:tr>
      <w:tr w:rsidR="00000000">
        <w:tc>
          <w:tcPr>
            <w:tcW w:w="1446" w:type="dxa"/>
          </w:tcPr>
          <w:p w:rsidR="00000000" w:rsidRDefault="00D35856">
            <w:pPr>
              <w:keepNext w:val="0"/>
              <w:spacing w:after="0"/>
              <w:rPr>
                <w:rFonts w:ascii="Arial" w:hAnsi="Arial" w:cs="Arial"/>
                <w:sz w:val="18"/>
                <w:szCs w:val="18"/>
              </w:rPr>
            </w:pPr>
            <w:r>
              <w:rPr>
                <w:rFonts w:ascii="Arial" w:hAnsi="Arial" w:cs="Arial"/>
                <w:sz w:val="18"/>
                <w:szCs w:val="18"/>
              </w:rPr>
              <w:t>2021</w:t>
            </w:r>
          </w:p>
        </w:tc>
        <w:tc>
          <w:tcPr>
            <w:tcW w:w="1347" w:type="dxa"/>
          </w:tcPr>
          <w:p w:rsidR="00000000" w:rsidRDefault="00D35856">
            <w:pPr>
              <w:keepNext w:val="0"/>
              <w:spacing w:after="0"/>
              <w:rPr>
                <w:rFonts w:ascii="Arial" w:hAnsi="Arial" w:cs="Arial"/>
                <w:sz w:val="18"/>
                <w:szCs w:val="18"/>
              </w:rPr>
            </w:pPr>
            <w:r>
              <w:rPr>
                <w:rFonts w:ascii="Arial" w:hAnsi="Arial" w:cs="Arial"/>
                <w:sz w:val="18"/>
                <w:szCs w:val="18"/>
              </w:rPr>
              <w:t>Renovated</w:t>
            </w:r>
          </w:p>
        </w:tc>
        <w:tc>
          <w:tcPr>
            <w:tcW w:w="1626" w:type="dxa"/>
          </w:tcPr>
          <w:p w:rsidR="00000000" w:rsidRDefault="00D35856">
            <w:pPr>
              <w:keepNext w:val="0"/>
              <w:spacing w:after="0"/>
              <w:rPr>
                <w:rFonts w:ascii="Arial" w:hAnsi="Arial" w:cs="Arial"/>
                <w:sz w:val="18"/>
                <w:szCs w:val="18"/>
              </w:rPr>
            </w:pPr>
            <w:r>
              <w:rPr>
                <w:rFonts w:ascii="Arial" w:hAnsi="Arial" w:cs="Arial"/>
                <w:sz w:val="18"/>
                <w:szCs w:val="18"/>
              </w:rPr>
              <w:t>1.7</w:t>
            </w:r>
          </w:p>
        </w:tc>
        <w:tc>
          <w:tcPr>
            <w:tcW w:w="1439" w:type="dxa"/>
          </w:tcPr>
          <w:p w:rsidR="00000000" w:rsidRDefault="00D35856">
            <w:pPr>
              <w:keepNext w:val="0"/>
              <w:spacing w:after="0"/>
              <w:rPr>
                <w:rFonts w:ascii="Arial" w:hAnsi="Arial" w:cs="Arial"/>
                <w:sz w:val="18"/>
                <w:szCs w:val="18"/>
              </w:rPr>
            </w:pPr>
            <w:r>
              <w:rPr>
                <w:rFonts w:ascii="Arial" w:hAnsi="Arial" w:cs="Arial"/>
                <w:sz w:val="18"/>
                <w:szCs w:val="18"/>
              </w:rPr>
              <w:t>40%</w:t>
            </w:r>
          </w:p>
        </w:tc>
        <w:tc>
          <w:tcPr>
            <w:tcW w:w="1436" w:type="dxa"/>
          </w:tcPr>
          <w:p w:rsidR="00000000" w:rsidRDefault="00D35856">
            <w:pPr>
              <w:keepNext w:val="0"/>
              <w:spacing w:after="0"/>
              <w:rPr>
                <w:rFonts w:ascii="Arial" w:hAnsi="Arial" w:cs="Arial"/>
                <w:sz w:val="18"/>
                <w:szCs w:val="18"/>
              </w:rPr>
            </w:pPr>
            <w:r>
              <w:rPr>
                <w:rFonts w:ascii="Arial" w:hAnsi="Arial" w:cs="Arial"/>
                <w:sz w:val="18"/>
                <w:szCs w:val="18"/>
              </w:rPr>
              <w:t>55%</w:t>
            </w:r>
          </w:p>
        </w:tc>
        <w:tc>
          <w:tcPr>
            <w:tcW w:w="1420" w:type="dxa"/>
          </w:tcPr>
          <w:p w:rsidR="00000000" w:rsidRDefault="00D35856">
            <w:pPr>
              <w:keepNext w:val="0"/>
              <w:spacing w:after="0"/>
              <w:rPr>
                <w:rFonts w:ascii="Arial" w:hAnsi="Arial" w:cs="Arial"/>
                <w:sz w:val="18"/>
                <w:szCs w:val="18"/>
              </w:rPr>
            </w:pPr>
            <w:r>
              <w:rPr>
                <w:rFonts w:ascii="Arial" w:hAnsi="Arial" w:cs="Arial"/>
                <w:sz w:val="18"/>
                <w:szCs w:val="18"/>
              </w:rPr>
              <w:t>5%</w:t>
            </w:r>
          </w:p>
        </w:tc>
      </w:tr>
    </w:tbl>
    <w:p w:rsidR="00000000" w:rsidRDefault="00D35856">
      <w:pPr>
        <w:pStyle w:val="Caption"/>
        <w:keepNext w:val="0"/>
        <w:pageBreakBefore/>
      </w:pPr>
      <w:bookmarkStart w:id="102" w:name="_Ref188101057"/>
      <w:bookmarkStart w:id="103" w:name="_Toc199933790"/>
      <w:r>
        <w:lastRenderedPageBreak/>
        <w:t xml:space="preserve">Table </w:t>
      </w:r>
      <w:r>
        <w:fldChar w:fldCharType="begin"/>
      </w:r>
      <w:r>
        <w:instrText xml:space="preserve"> STYLEREF 1 \s </w:instrText>
      </w:r>
      <w:r>
        <w:fldChar w:fldCharType="separate"/>
      </w:r>
      <w:r>
        <w:rPr>
          <w:noProof/>
        </w:rPr>
        <w:t>3</w:t>
      </w:r>
      <w:r>
        <w:fldChar w:fldCharType="end"/>
      </w:r>
      <w:r>
        <w:noBreakHyphen/>
      </w:r>
      <w:bookmarkEnd w:id="102"/>
      <w:r>
        <w:t>7: RIS - With labelling scenario</w:t>
      </w:r>
      <w:bookmarkEnd w:id="103"/>
    </w:p>
    <w:tbl>
      <w:tblPr>
        <w:tblStyle w:val="TableGrid"/>
        <w:tblW w:w="5000" w:type="pct"/>
        <w:tblLook w:val="01E0"/>
      </w:tblPr>
      <w:tblGrid>
        <w:gridCol w:w="1778"/>
        <w:gridCol w:w="1656"/>
        <w:gridCol w:w="1769"/>
        <w:gridCol w:w="1765"/>
        <w:gridCol w:w="1746"/>
      </w:tblGrid>
      <w:tr w:rsidR="00000000">
        <w:tc>
          <w:tcPr>
            <w:tcW w:w="1020" w:type="pct"/>
            <w:shd w:val="clear" w:color="auto" w:fill="C0C0C0"/>
          </w:tcPr>
          <w:p w:rsidR="00000000" w:rsidRDefault="00D35856">
            <w:pPr>
              <w:keepNext w:val="0"/>
              <w:spacing w:after="0"/>
              <w:rPr>
                <w:rFonts w:ascii="Arial" w:hAnsi="Arial" w:cs="Arial"/>
                <w:b/>
                <w:sz w:val="18"/>
                <w:szCs w:val="18"/>
              </w:rPr>
            </w:pPr>
            <w:r>
              <w:rPr>
                <w:rFonts w:ascii="Arial" w:hAnsi="Arial" w:cs="Arial"/>
                <w:b/>
                <w:sz w:val="18"/>
                <w:szCs w:val="18"/>
              </w:rPr>
              <w:t>Time</w:t>
            </w:r>
          </w:p>
        </w:tc>
        <w:tc>
          <w:tcPr>
            <w:tcW w:w="950" w:type="pct"/>
            <w:shd w:val="clear" w:color="auto" w:fill="C0C0C0"/>
          </w:tcPr>
          <w:p w:rsidR="00000000" w:rsidRDefault="00D35856">
            <w:pPr>
              <w:keepNext w:val="0"/>
              <w:spacing w:after="0"/>
              <w:rPr>
                <w:rFonts w:ascii="Arial" w:hAnsi="Arial" w:cs="Arial"/>
                <w:b/>
                <w:sz w:val="18"/>
                <w:szCs w:val="18"/>
              </w:rPr>
            </w:pPr>
            <w:r>
              <w:rPr>
                <w:rFonts w:ascii="Arial" w:hAnsi="Arial" w:cs="Arial"/>
                <w:b/>
                <w:sz w:val="18"/>
                <w:szCs w:val="18"/>
              </w:rPr>
              <w:t>New or renovated</w:t>
            </w:r>
          </w:p>
        </w:tc>
        <w:tc>
          <w:tcPr>
            <w:tcW w:w="1015" w:type="pct"/>
            <w:shd w:val="clear" w:color="auto" w:fill="C0C0C0"/>
          </w:tcPr>
          <w:p w:rsidR="00000000" w:rsidRDefault="00D35856">
            <w:pPr>
              <w:keepNext w:val="0"/>
              <w:spacing w:after="0"/>
              <w:rPr>
                <w:rFonts w:ascii="Arial" w:hAnsi="Arial" w:cs="Arial"/>
                <w:b/>
                <w:sz w:val="18"/>
                <w:szCs w:val="18"/>
              </w:rPr>
            </w:pPr>
            <w:r>
              <w:rPr>
                <w:rFonts w:ascii="Arial" w:hAnsi="Arial" w:cs="Arial"/>
                <w:b/>
                <w:sz w:val="18"/>
                <w:szCs w:val="18"/>
              </w:rPr>
              <w:t>Zero star</w:t>
            </w:r>
          </w:p>
        </w:tc>
        <w:tc>
          <w:tcPr>
            <w:tcW w:w="1013" w:type="pct"/>
            <w:shd w:val="clear" w:color="auto" w:fill="C0C0C0"/>
          </w:tcPr>
          <w:p w:rsidR="00000000" w:rsidRDefault="00D35856">
            <w:pPr>
              <w:keepNext w:val="0"/>
              <w:spacing w:after="0"/>
              <w:rPr>
                <w:rFonts w:ascii="Arial" w:hAnsi="Arial" w:cs="Arial"/>
                <w:b/>
                <w:sz w:val="18"/>
                <w:szCs w:val="18"/>
              </w:rPr>
            </w:pPr>
            <w:r>
              <w:rPr>
                <w:rFonts w:ascii="Arial" w:hAnsi="Arial" w:cs="Arial"/>
                <w:b/>
                <w:sz w:val="18"/>
                <w:szCs w:val="18"/>
              </w:rPr>
              <w:t>3-star</w:t>
            </w:r>
          </w:p>
        </w:tc>
        <w:tc>
          <w:tcPr>
            <w:tcW w:w="1002" w:type="pct"/>
            <w:shd w:val="clear" w:color="auto" w:fill="C0C0C0"/>
          </w:tcPr>
          <w:p w:rsidR="00000000" w:rsidRDefault="00D35856">
            <w:pPr>
              <w:keepNext w:val="0"/>
              <w:spacing w:after="0"/>
              <w:rPr>
                <w:rFonts w:ascii="Arial" w:hAnsi="Arial" w:cs="Arial"/>
                <w:b/>
                <w:sz w:val="18"/>
                <w:szCs w:val="18"/>
              </w:rPr>
            </w:pPr>
            <w:r>
              <w:rPr>
                <w:rFonts w:ascii="Arial" w:hAnsi="Arial" w:cs="Arial"/>
                <w:b/>
                <w:sz w:val="18"/>
                <w:szCs w:val="18"/>
              </w:rPr>
              <w:t>5-star</w:t>
            </w:r>
          </w:p>
        </w:tc>
      </w:tr>
      <w:tr w:rsidR="00000000">
        <w:tc>
          <w:tcPr>
            <w:tcW w:w="1020" w:type="pct"/>
          </w:tcPr>
          <w:p w:rsidR="00000000" w:rsidRDefault="00D35856">
            <w:pPr>
              <w:keepNext w:val="0"/>
              <w:spacing w:after="0"/>
              <w:rPr>
                <w:rFonts w:ascii="Arial" w:hAnsi="Arial" w:cs="Arial"/>
                <w:sz w:val="18"/>
                <w:szCs w:val="18"/>
              </w:rPr>
            </w:pPr>
            <w:r>
              <w:rPr>
                <w:rFonts w:ascii="Arial" w:hAnsi="Arial" w:cs="Arial"/>
                <w:sz w:val="18"/>
                <w:szCs w:val="18"/>
              </w:rPr>
              <w:t>2008</w:t>
            </w:r>
          </w:p>
        </w:tc>
        <w:tc>
          <w:tcPr>
            <w:tcW w:w="950" w:type="pct"/>
          </w:tcPr>
          <w:p w:rsidR="00000000" w:rsidRDefault="00D35856">
            <w:pPr>
              <w:keepNext w:val="0"/>
              <w:spacing w:after="0"/>
              <w:rPr>
                <w:rFonts w:ascii="Arial" w:hAnsi="Arial" w:cs="Arial"/>
                <w:sz w:val="18"/>
                <w:szCs w:val="18"/>
              </w:rPr>
            </w:pPr>
            <w:r>
              <w:rPr>
                <w:rFonts w:ascii="Arial" w:hAnsi="Arial" w:cs="Arial"/>
                <w:sz w:val="18"/>
                <w:szCs w:val="18"/>
              </w:rPr>
              <w:t>New</w:t>
            </w:r>
          </w:p>
        </w:tc>
        <w:tc>
          <w:tcPr>
            <w:tcW w:w="1015" w:type="pct"/>
          </w:tcPr>
          <w:p w:rsidR="00000000" w:rsidRDefault="00D35856">
            <w:pPr>
              <w:keepNext w:val="0"/>
              <w:spacing w:after="0"/>
              <w:rPr>
                <w:rFonts w:ascii="Arial" w:hAnsi="Arial" w:cs="Arial"/>
                <w:sz w:val="18"/>
                <w:szCs w:val="18"/>
              </w:rPr>
            </w:pPr>
            <w:r>
              <w:rPr>
                <w:rFonts w:ascii="Arial" w:hAnsi="Arial" w:cs="Arial"/>
                <w:sz w:val="18"/>
                <w:szCs w:val="18"/>
              </w:rPr>
              <w:t>70%</w:t>
            </w:r>
          </w:p>
        </w:tc>
        <w:tc>
          <w:tcPr>
            <w:tcW w:w="1013" w:type="pct"/>
          </w:tcPr>
          <w:p w:rsidR="00000000" w:rsidRDefault="00D35856">
            <w:pPr>
              <w:keepNext w:val="0"/>
              <w:spacing w:after="0"/>
              <w:rPr>
                <w:rFonts w:ascii="Arial" w:hAnsi="Arial" w:cs="Arial"/>
                <w:sz w:val="18"/>
                <w:szCs w:val="18"/>
              </w:rPr>
            </w:pPr>
            <w:r>
              <w:rPr>
                <w:rFonts w:ascii="Arial" w:hAnsi="Arial" w:cs="Arial"/>
                <w:sz w:val="18"/>
                <w:szCs w:val="18"/>
              </w:rPr>
              <w:t>28%</w:t>
            </w:r>
          </w:p>
        </w:tc>
        <w:tc>
          <w:tcPr>
            <w:tcW w:w="1002" w:type="pct"/>
          </w:tcPr>
          <w:p w:rsidR="00000000" w:rsidRDefault="00D35856">
            <w:pPr>
              <w:keepNext w:val="0"/>
              <w:spacing w:after="0"/>
              <w:rPr>
                <w:rFonts w:ascii="Arial" w:hAnsi="Arial" w:cs="Arial"/>
                <w:sz w:val="18"/>
                <w:szCs w:val="18"/>
              </w:rPr>
            </w:pPr>
            <w:r>
              <w:rPr>
                <w:rFonts w:ascii="Arial" w:hAnsi="Arial" w:cs="Arial"/>
                <w:sz w:val="18"/>
                <w:szCs w:val="18"/>
              </w:rPr>
              <w:t>2%</w:t>
            </w:r>
          </w:p>
        </w:tc>
      </w:tr>
      <w:tr w:rsidR="00000000">
        <w:tc>
          <w:tcPr>
            <w:tcW w:w="1020" w:type="pct"/>
          </w:tcPr>
          <w:p w:rsidR="00000000" w:rsidRDefault="00D35856">
            <w:pPr>
              <w:keepNext w:val="0"/>
              <w:spacing w:after="0"/>
              <w:rPr>
                <w:rFonts w:ascii="Arial" w:hAnsi="Arial" w:cs="Arial"/>
                <w:sz w:val="18"/>
                <w:szCs w:val="18"/>
              </w:rPr>
            </w:pPr>
            <w:r>
              <w:rPr>
                <w:rFonts w:ascii="Arial" w:hAnsi="Arial" w:cs="Arial"/>
                <w:sz w:val="18"/>
                <w:szCs w:val="18"/>
              </w:rPr>
              <w:t>2011</w:t>
            </w:r>
          </w:p>
        </w:tc>
        <w:tc>
          <w:tcPr>
            <w:tcW w:w="950" w:type="pct"/>
          </w:tcPr>
          <w:p w:rsidR="00000000" w:rsidRDefault="00D35856">
            <w:pPr>
              <w:keepNext w:val="0"/>
              <w:spacing w:after="0"/>
              <w:rPr>
                <w:rFonts w:ascii="Arial" w:hAnsi="Arial" w:cs="Arial"/>
                <w:sz w:val="18"/>
                <w:szCs w:val="18"/>
              </w:rPr>
            </w:pPr>
            <w:r>
              <w:rPr>
                <w:rFonts w:ascii="Arial" w:hAnsi="Arial" w:cs="Arial"/>
                <w:sz w:val="18"/>
                <w:szCs w:val="18"/>
              </w:rPr>
              <w:t>New</w:t>
            </w:r>
          </w:p>
        </w:tc>
        <w:tc>
          <w:tcPr>
            <w:tcW w:w="1015" w:type="pct"/>
          </w:tcPr>
          <w:p w:rsidR="00000000" w:rsidRDefault="00D35856">
            <w:pPr>
              <w:keepNext w:val="0"/>
              <w:spacing w:after="0"/>
              <w:rPr>
                <w:rFonts w:ascii="Arial" w:hAnsi="Arial" w:cs="Arial"/>
                <w:sz w:val="18"/>
                <w:szCs w:val="18"/>
              </w:rPr>
            </w:pPr>
            <w:r>
              <w:rPr>
                <w:rFonts w:ascii="Arial" w:hAnsi="Arial" w:cs="Arial"/>
                <w:sz w:val="18"/>
                <w:szCs w:val="18"/>
              </w:rPr>
              <w:t>60%</w:t>
            </w:r>
          </w:p>
        </w:tc>
        <w:tc>
          <w:tcPr>
            <w:tcW w:w="1013" w:type="pct"/>
          </w:tcPr>
          <w:p w:rsidR="00000000" w:rsidRDefault="00D35856">
            <w:pPr>
              <w:keepNext w:val="0"/>
              <w:spacing w:after="0"/>
              <w:rPr>
                <w:rFonts w:ascii="Arial" w:hAnsi="Arial" w:cs="Arial"/>
                <w:sz w:val="18"/>
                <w:szCs w:val="18"/>
              </w:rPr>
            </w:pPr>
            <w:r>
              <w:rPr>
                <w:rFonts w:ascii="Arial" w:hAnsi="Arial" w:cs="Arial"/>
                <w:sz w:val="18"/>
                <w:szCs w:val="18"/>
              </w:rPr>
              <w:t>35%</w:t>
            </w:r>
          </w:p>
        </w:tc>
        <w:tc>
          <w:tcPr>
            <w:tcW w:w="1002" w:type="pct"/>
          </w:tcPr>
          <w:p w:rsidR="00000000" w:rsidRDefault="00D35856">
            <w:pPr>
              <w:keepNext w:val="0"/>
              <w:spacing w:after="0"/>
              <w:rPr>
                <w:rFonts w:ascii="Arial" w:hAnsi="Arial" w:cs="Arial"/>
                <w:sz w:val="18"/>
                <w:szCs w:val="18"/>
              </w:rPr>
            </w:pPr>
            <w:r>
              <w:rPr>
                <w:rFonts w:ascii="Arial" w:hAnsi="Arial" w:cs="Arial"/>
                <w:sz w:val="18"/>
                <w:szCs w:val="18"/>
              </w:rPr>
              <w:t>5%</w:t>
            </w:r>
          </w:p>
        </w:tc>
      </w:tr>
      <w:tr w:rsidR="00000000">
        <w:tc>
          <w:tcPr>
            <w:tcW w:w="1020" w:type="pct"/>
          </w:tcPr>
          <w:p w:rsidR="00000000" w:rsidRDefault="00D35856">
            <w:pPr>
              <w:keepNext w:val="0"/>
              <w:spacing w:after="0"/>
              <w:rPr>
                <w:rFonts w:ascii="Arial" w:hAnsi="Arial" w:cs="Arial"/>
                <w:sz w:val="18"/>
                <w:szCs w:val="18"/>
              </w:rPr>
            </w:pPr>
            <w:r>
              <w:rPr>
                <w:rFonts w:ascii="Arial" w:hAnsi="Arial" w:cs="Arial"/>
                <w:sz w:val="18"/>
                <w:szCs w:val="18"/>
              </w:rPr>
              <w:t>2021</w:t>
            </w:r>
          </w:p>
        </w:tc>
        <w:tc>
          <w:tcPr>
            <w:tcW w:w="950" w:type="pct"/>
          </w:tcPr>
          <w:p w:rsidR="00000000" w:rsidRDefault="00D35856">
            <w:pPr>
              <w:keepNext w:val="0"/>
              <w:spacing w:after="0"/>
              <w:rPr>
                <w:rFonts w:ascii="Arial" w:hAnsi="Arial" w:cs="Arial"/>
                <w:sz w:val="18"/>
                <w:szCs w:val="18"/>
              </w:rPr>
            </w:pPr>
            <w:r>
              <w:rPr>
                <w:rFonts w:ascii="Arial" w:hAnsi="Arial" w:cs="Arial"/>
                <w:sz w:val="18"/>
                <w:szCs w:val="18"/>
              </w:rPr>
              <w:t>New</w:t>
            </w:r>
          </w:p>
        </w:tc>
        <w:tc>
          <w:tcPr>
            <w:tcW w:w="1015" w:type="pct"/>
          </w:tcPr>
          <w:p w:rsidR="00000000" w:rsidRDefault="00D35856">
            <w:pPr>
              <w:keepNext w:val="0"/>
              <w:spacing w:after="0"/>
              <w:rPr>
                <w:rFonts w:ascii="Arial" w:hAnsi="Arial" w:cs="Arial"/>
                <w:sz w:val="18"/>
                <w:szCs w:val="18"/>
              </w:rPr>
            </w:pPr>
            <w:r>
              <w:rPr>
                <w:rFonts w:ascii="Arial" w:hAnsi="Arial" w:cs="Arial"/>
                <w:sz w:val="18"/>
                <w:szCs w:val="18"/>
              </w:rPr>
              <w:t>45%</w:t>
            </w:r>
          </w:p>
        </w:tc>
        <w:tc>
          <w:tcPr>
            <w:tcW w:w="1013" w:type="pct"/>
          </w:tcPr>
          <w:p w:rsidR="00000000" w:rsidRDefault="00D35856">
            <w:pPr>
              <w:keepNext w:val="0"/>
              <w:spacing w:after="0"/>
              <w:rPr>
                <w:rFonts w:ascii="Arial" w:hAnsi="Arial" w:cs="Arial"/>
                <w:sz w:val="18"/>
                <w:szCs w:val="18"/>
              </w:rPr>
            </w:pPr>
            <w:r>
              <w:rPr>
                <w:rFonts w:ascii="Arial" w:hAnsi="Arial" w:cs="Arial"/>
                <w:sz w:val="18"/>
                <w:szCs w:val="18"/>
              </w:rPr>
              <w:t>45%</w:t>
            </w:r>
          </w:p>
        </w:tc>
        <w:tc>
          <w:tcPr>
            <w:tcW w:w="1002" w:type="pct"/>
          </w:tcPr>
          <w:p w:rsidR="00000000" w:rsidRDefault="00D35856">
            <w:pPr>
              <w:keepNext w:val="0"/>
              <w:spacing w:after="0"/>
              <w:rPr>
                <w:rFonts w:ascii="Arial" w:hAnsi="Arial" w:cs="Arial"/>
                <w:sz w:val="18"/>
                <w:szCs w:val="18"/>
              </w:rPr>
            </w:pPr>
            <w:r>
              <w:rPr>
                <w:rFonts w:ascii="Arial" w:hAnsi="Arial" w:cs="Arial"/>
                <w:sz w:val="18"/>
                <w:szCs w:val="18"/>
              </w:rPr>
              <w:t>10%</w:t>
            </w:r>
          </w:p>
        </w:tc>
      </w:tr>
      <w:tr w:rsidR="00000000">
        <w:tc>
          <w:tcPr>
            <w:tcW w:w="1020" w:type="pct"/>
          </w:tcPr>
          <w:p w:rsidR="00000000" w:rsidRDefault="00D35856">
            <w:pPr>
              <w:keepNext w:val="0"/>
              <w:spacing w:after="0"/>
              <w:rPr>
                <w:rFonts w:ascii="Arial" w:hAnsi="Arial" w:cs="Arial"/>
                <w:sz w:val="18"/>
                <w:szCs w:val="18"/>
              </w:rPr>
            </w:pPr>
            <w:r>
              <w:rPr>
                <w:rFonts w:ascii="Arial" w:hAnsi="Arial" w:cs="Arial"/>
                <w:sz w:val="18"/>
                <w:szCs w:val="18"/>
              </w:rPr>
              <w:t>2008</w:t>
            </w:r>
          </w:p>
        </w:tc>
        <w:tc>
          <w:tcPr>
            <w:tcW w:w="950" w:type="pct"/>
          </w:tcPr>
          <w:p w:rsidR="00000000" w:rsidRDefault="00D35856">
            <w:pPr>
              <w:keepNext w:val="0"/>
              <w:spacing w:after="0"/>
              <w:rPr>
                <w:rFonts w:ascii="Arial" w:hAnsi="Arial" w:cs="Arial"/>
                <w:sz w:val="18"/>
                <w:szCs w:val="18"/>
              </w:rPr>
            </w:pPr>
            <w:r>
              <w:rPr>
                <w:rFonts w:ascii="Arial" w:hAnsi="Arial" w:cs="Arial"/>
                <w:sz w:val="18"/>
                <w:szCs w:val="18"/>
              </w:rPr>
              <w:t>Renovated</w:t>
            </w:r>
          </w:p>
        </w:tc>
        <w:tc>
          <w:tcPr>
            <w:tcW w:w="1015" w:type="pct"/>
          </w:tcPr>
          <w:p w:rsidR="00000000" w:rsidRDefault="00D35856">
            <w:pPr>
              <w:keepNext w:val="0"/>
              <w:spacing w:after="0"/>
              <w:rPr>
                <w:rFonts w:ascii="Arial" w:hAnsi="Arial" w:cs="Arial"/>
                <w:sz w:val="18"/>
                <w:szCs w:val="18"/>
              </w:rPr>
            </w:pPr>
            <w:r>
              <w:rPr>
                <w:rFonts w:ascii="Arial" w:hAnsi="Arial" w:cs="Arial"/>
                <w:sz w:val="18"/>
                <w:szCs w:val="18"/>
              </w:rPr>
              <w:t>40%</w:t>
            </w:r>
          </w:p>
        </w:tc>
        <w:tc>
          <w:tcPr>
            <w:tcW w:w="1013" w:type="pct"/>
          </w:tcPr>
          <w:p w:rsidR="00000000" w:rsidRDefault="00D35856">
            <w:pPr>
              <w:keepNext w:val="0"/>
              <w:spacing w:after="0"/>
              <w:rPr>
                <w:rFonts w:ascii="Arial" w:hAnsi="Arial" w:cs="Arial"/>
                <w:sz w:val="18"/>
                <w:szCs w:val="18"/>
              </w:rPr>
            </w:pPr>
            <w:r>
              <w:rPr>
                <w:rFonts w:ascii="Arial" w:hAnsi="Arial" w:cs="Arial"/>
                <w:sz w:val="18"/>
                <w:szCs w:val="18"/>
              </w:rPr>
              <w:t>55%</w:t>
            </w:r>
          </w:p>
        </w:tc>
        <w:tc>
          <w:tcPr>
            <w:tcW w:w="1002" w:type="pct"/>
          </w:tcPr>
          <w:p w:rsidR="00000000" w:rsidRDefault="00D35856">
            <w:pPr>
              <w:keepNext w:val="0"/>
              <w:spacing w:after="0"/>
              <w:rPr>
                <w:rFonts w:ascii="Arial" w:hAnsi="Arial" w:cs="Arial"/>
                <w:sz w:val="18"/>
                <w:szCs w:val="18"/>
              </w:rPr>
            </w:pPr>
            <w:r>
              <w:rPr>
                <w:rFonts w:ascii="Arial" w:hAnsi="Arial" w:cs="Arial"/>
                <w:sz w:val="18"/>
                <w:szCs w:val="18"/>
              </w:rPr>
              <w:t>5%</w:t>
            </w:r>
          </w:p>
        </w:tc>
      </w:tr>
      <w:tr w:rsidR="00000000">
        <w:tc>
          <w:tcPr>
            <w:tcW w:w="1020" w:type="pct"/>
          </w:tcPr>
          <w:p w:rsidR="00000000" w:rsidRDefault="00D35856">
            <w:pPr>
              <w:keepNext w:val="0"/>
              <w:spacing w:after="0"/>
              <w:rPr>
                <w:rFonts w:ascii="Arial" w:hAnsi="Arial" w:cs="Arial"/>
                <w:sz w:val="18"/>
                <w:szCs w:val="18"/>
              </w:rPr>
            </w:pPr>
            <w:r>
              <w:rPr>
                <w:rFonts w:ascii="Arial" w:hAnsi="Arial" w:cs="Arial"/>
                <w:sz w:val="18"/>
                <w:szCs w:val="18"/>
              </w:rPr>
              <w:t>2011</w:t>
            </w:r>
          </w:p>
        </w:tc>
        <w:tc>
          <w:tcPr>
            <w:tcW w:w="950" w:type="pct"/>
          </w:tcPr>
          <w:p w:rsidR="00000000" w:rsidRDefault="00D35856">
            <w:pPr>
              <w:keepNext w:val="0"/>
              <w:spacing w:after="0"/>
              <w:rPr>
                <w:rFonts w:ascii="Arial" w:hAnsi="Arial" w:cs="Arial"/>
                <w:sz w:val="18"/>
                <w:szCs w:val="18"/>
              </w:rPr>
            </w:pPr>
            <w:r>
              <w:rPr>
                <w:rFonts w:ascii="Arial" w:hAnsi="Arial" w:cs="Arial"/>
                <w:sz w:val="18"/>
                <w:szCs w:val="18"/>
              </w:rPr>
              <w:t>Renovated</w:t>
            </w:r>
          </w:p>
        </w:tc>
        <w:tc>
          <w:tcPr>
            <w:tcW w:w="1015" w:type="pct"/>
          </w:tcPr>
          <w:p w:rsidR="00000000" w:rsidRDefault="00D35856">
            <w:pPr>
              <w:keepNext w:val="0"/>
              <w:spacing w:after="0"/>
              <w:rPr>
                <w:rFonts w:ascii="Arial" w:hAnsi="Arial" w:cs="Arial"/>
                <w:sz w:val="18"/>
                <w:szCs w:val="18"/>
              </w:rPr>
            </w:pPr>
            <w:r>
              <w:rPr>
                <w:rFonts w:ascii="Arial" w:hAnsi="Arial" w:cs="Arial"/>
                <w:sz w:val="18"/>
                <w:szCs w:val="18"/>
              </w:rPr>
              <w:t>30%</w:t>
            </w:r>
          </w:p>
        </w:tc>
        <w:tc>
          <w:tcPr>
            <w:tcW w:w="1013" w:type="pct"/>
          </w:tcPr>
          <w:p w:rsidR="00000000" w:rsidRDefault="00D35856">
            <w:pPr>
              <w:keepNext w:val="0"/>
              <w:spacing w:after="0"/>
              <w:rPr>
                <w:rFonts w:ascii="Arial" w:hAnsi="Arial" w:cs="Arial"/>
                <w:sz w:val="18"/>
                <w:szCs w:val="18"/>
              </w:rPr>
            </w:pPr>
            <w:r>
              <w:rPr>
                <w:rFonts w:ascii="Arial" w:hAnsi="Arial" w:cs="Arial"/>
                <w:sz w:val="18"/>
                <w:szCs w:val="18"/>
              </w:rPr>
              <w:t>63%</w:t>
            </w:r>
          </w:p>
        </w:tc>
        <w:tc>
          <w:tcPr>
            <w:tcW w:w="1002" w:type="pct"/>
          </w:tcPr>
          <w:p w:rsidR="00000000" w:rsidRDefault="00D35856">
            <w:pPr>
              <w:keepNext w:val="0"/>
              <w:spacing w:after="0"/>
              <w:rPr>
                <w:rFonts w:ascii="Arial" w:hAnsi="Arial" w:cs="Arial"/>
                <w:sz w:val="18"/>
                <w:szCs w:val="18"/>
              </w:rPr>
            </w:pPr>
            <w:r>
              <w:rPr>
                <w:rFonts w:ascii="Arial" w:hAnsi="Arial" w:cs="Arial"/>
                <w:sz w:val="18"/>
                <w:szCs w:val="18"/>
              </w:rPr>
              <w:t>7%</w:t>
            </w:r>
          </w:p>
        </w:tc>
      </w:tr>
      <w:tr w:rsidR="00000000">
        <w:tc>
          <w:tcPr>
            <w:tcW w:w="1020" w:type="pct"/>
          </w:tcPr>
          <w:p w:rsidR="00000000" w:rsidRDefault="00D35856">
            <w:pPr>
              <w:keepNext w:val="0"/>
              <w:spacing w:after="0"/>
              <w:rPr>
                <w:rFonts w:ascii="Arial" w:hAnsi="Arial" w:cs="Arial"/>
                <w:sz w:val="18"/>
                <w:szCs w:val="18"/>
              </w:rPr>
            </w:pPr>
            <w:r>
              <w:rPr>
                <w:rFonts w:ascii="Arial" w:hAnsi="Arial" w:cs="Arial"/>
                <w:sz w:val="18"/>
                <w:szCs w:val="18"/>
              </w:rPr>
              <w:t>2021</w:t>
            </w:r>
          </w:p>
        </w:tc>
        <w:tc>
          <w:tcPr>
            <w:tcW w:w="950" w:type="pct"/>
          </w:tcPr>
          <w:p w:rsidR="00000000" w:rsidRDefault="00D35856">
            <w:pPr>
              <w:keepNext w:val="0"/>
              <w:spacing w:after="0"/>
              <w:rPr>
                <w:rFonts w:ascii="Arial" w:hAnsi="Arial" w:cs="Arial"/>
                <w:sz w:val="18"/>
                <w:szCs w:val="18"/>
              </w:rPr>
            </w:pPr>
            <w:r>
              <w:rPr>
                <w:rFonts w:ascii="Arial" w:hAnsi="Arial" w:cs="Arial"/>
                <w:sz w:val="18"/>
                <w:szCs w:val="18"/>
              </w:rPr>
              <w:t>Renovated</w:t>
            </w:r>
          </w:p>
        </w:tc>
        <w:tc>
          <w:tcPr>
            <w:tcW w:w="1015" w:type="pct"/>
          </w:tcPr>
          <w:p w:rsidR="00000000" w:rsidRDefault="00D35856">
            <w:pPr>
              <w:keepNext w:val="0"/>
              <w:spacing w:after="0"/>
              <w:rPr>
                <w:rFonts w:ascii="Arial" w:hAnsi="Arial" w:cs="Arial"/>
                <w:sz w:val="18"/>
                <w:szCs w:val="18"/>
              </w:rPr>
            </w:pPr>
            <w:r>
              <w:rPr>
                <w:rFonts w:ascii="Arial" w:hAnsi="Arial" w:cs="Arial"/>
                <w:sz w:val="18"/>
                <w:szCs w:val="18"/>
              </w:rPr>
              <w:t>20%</w:t>
            </w:r>
          </w:p>
        </w:tc>
        <w:tc>
          <w:tcPr>
            <w:tcW w:w="1013" w:type="pct"/>
          </w:tcPr>
          <w:p w:rsidR="00000000" w:rsidRDefault="00D35856">
            <w:pPr>
              <w:keepNext w:val="0"/>
              <w:spacing w:after="0"/>
              <w:rPr>
                <w:rFonts w:ascii="Arial" w:hAnsi="Arial" w:cs="Arial"/>
                <w:sz w:val="18"/>
                <w:szCs w:val="18"/>
              </w:rPr>
            </w:pPr>
            <w:r>
              <w:rPr>
                <w:rFonts w:ascii="Arial" w:hAnsi="Arial" w:cs="Arial"/>
                <w:sz w:val="18"/>
                <w:szCs w:val="18"/>
              </w:rPr>
              <w:t>70%</w:t>
            </w:r>
          </w:p>
        </w:tc>
        <w:tc>
          <w:tcPr>
            <w:tcW w:w="1002" w:type="pct"/>
          </w:tcPr>
          <w:p w:rsidR="00000000" w:rsidRDefault="00D35856">
            <w:pPr>
              <w:keepNext w:val="0"/>
              <w:spacing w:after="0"/>
              <w:rPr>
                <w:rFonts w:ascii="Arial" w:hAnsi="Arial" w:cs="Arial"/>
                <w:sz w:val="18"/>
                <w:szCs w:val="18"/>
              </w:rPr>
            </w:pPr>
            <w:r>
              <w:rPr>
                <w:rFonts w:ascii="Arial" w:hAnsi="Arial" w:cs="Arial"/>
                <w:sz w:val="18"/>
                <w:szCs w:val="18"/>
              </w:rPr>
              <w:t>10%</w:t>
            </w:r>
          </w:p>
        </w:tc>
      </w:tr>
    </w:tbl>
    <w:p w:rsidR="00000000" w:rsidRDefault="00D35856">
      <w:pPr>
        <w:keepNext w:val="0"/>
      </w:pPr>
    </w:p>
    <w:p w:rsidR="00000000" w:rsidRDefault="00D35856">
      <w:pPr>
        <w:pStyle w:val="Caption"/>
        <w:keepNext w:val="0"/>
      </w:pPr>
      <w:bookmarkStart w:id="104" w:name="_Ref188101060"/>
      <w:bookmarkStart w:id="105" w:name="_Toc199933791"/>
      <w:r>
        <w:t xml:space="preserve">Table </w:t>
      </w:r>
      <w:r>
        <w:fldChar w:fldCharType="begin"/>
      </w:r>
      <w:r>
        <w:instrText xml:space="preserve"> STYLEREF 1 \s </w:instrText>
      </w:r>
      <w:r>
        <w:fldChar w:fldCharType="separate"/>
      </w:r>
      <w:r>
        <w:rPr>
          <w:noProof/>
        </w:rPr>
        <w:t>3</w:t>
      </w:r>
      <w:r>
        <w:fldChar w:fldCharType="end"/>
      </w:r>
      <w:r>
        <w:noBreakHyphen/>
      </w:r>
      <w:bookmarkEnd w:id="104"/>
      <w:r>
        <w:t xml:space="preserve">8: Updated with </w:t>
      </w:r>
      <w:smartTag w:uri="urn:schemas-microsoft-com:office:smarttags" w:element="City">
        <w:r>
          <w:t>WELS</w:t>
        </w:r>
      </w:smartTag>
      <w:r>
        <w:t xml:space="preserve"> scenario in this report</w:t>
      </w:r>
      <w:bookmarkEnd w:id="105"/>
    </w:p>
    <w:tbl>
      <w:tblPr>
        <w:tblStyle w:val="TableGrid"/>
        <w:tblW w:w="5000" w:type="pct"/>
        <w:tblLook w:val="01E0"/>
      </w:tblPr>
      <w:tblGrid>
        <w:gridCol w:w="1778"/>
        <w:gridCol w:w="1656"/>
        <w:gridCol w:w="1769"/>
        <w:gridCol w:w="1765"/>
        <w:gridCol w:w="1746"/>
      </w:tblGrid>
      <w:tr w:rsidR="00000000">
        <w:tc>
          <w:tcPr>
            <w:tcW w:w="1020" w:type="pct"/>
            <w:shd w:val="clear" w:color="auto" w:fill="C0C0C0"/>
          </w:tcPr>
          <w:p w:rsidR="00000000" w:rsidRDefault="00D35856">
            <w:pPr>
              <w:keepNext w:val="0"/>
              <w:spacing w:after="0"/>
              <w:rPr>
                <w:rFonts w:ascii="Arial" w:hAnsi="Arial" w:cs="Arial"/>
                <w:b/>
                <w:sz w:val="18"/>
                <w:szCs w:val="18"/>
              </w:rPr>
            </w:pPr>
            <w:r>
              <w:rPr>
                <w:rFonts w:ascii="Arial" w:hAnsi="Arial" w:cs="Arial"/>
                <w:b/>
                <w:sz w:val="18"/>
                <w:szCs w:val="18"/>
              </w:rPr>
              <w:t>Time</w:t>
            </w:r>
          </w:p>
        </w:tc>
        <w:tc>
          <w:tcPr>
            <w:tcW w:w="950" w:type="pct"/>
            <w:shd w:val="clear" w:color="auto" w:fill="C0C0C0"/>
          </w:tcPr>
          <w:p w:rsidR="00000000" w:rsidRDefault="00D35856">
            <w:pPr>
              <w:keepNext w:val="0"/>
              <w:spacing w:after="0"/>
              <w:rPr>
                <w:rFonts w:ascii="Arial" w:hAnsi="Arial" w:cs="Arial"/>
                <w:b/>
                <w:sz w:val="18"/>
                <w:szCs w:val="18"/>
              </w:rPr>
            </w:pPr>
            <w:r>
              <w:rPr>
                <w:rFonts w:ascii="Arial" w:hAnsi="Arial" w:cs="Arial"/>
                <w:b/>
                <w:sz w:val="18"/>
                <w:szCs w:val="18"/>
              </w:rPr>
              <w:t>New or renovated</w:t>
            </w:r>
          </w:p>
        </w:tc>
        <w:tc>
          <w:tcPr>
            <w:tcW w:w="1015" w:type="pct"/>
            <w:shd w:val="clear" w:color="auto" w:fill="C0C0C0"/>
          </w:tcPr>
          <w:p w:rsidR="00000000" w:rsidRDefault="00D35856">
            <w:pPr>
              <w:keepNext w:val="0"/>
              <w:spacing w:after="0"/>
              <w:rPr>
                <w:rFonts w:ascii="Arial" w:hAnsi="Arial" w:cs="Arial"/>
                <w:b/>
                <w:sz w:val="18"/>
                <w:szCs w:val="18"/>
              </w:rPr>
            </w:pPr>
            <w:r>
              <w:rPr>
                <w:rFonts w:ascii="Arial" w:hAnsi="Arial" w:cs="Arial"/>
                <w:b/>
                <w:sz w:val="18"/>
                <w:szCs w:val="18"/>
              </w:rPr>
              <w:t>Zero star</w:t>
            </w:r>
          </w:p>
        </w:tc>
        <w:tc>
          <w:tcPr>
            <w:tcW w:w="1013" w:type="pct"/>
            <w:shd w:val="clear" w:color="auto" w:fill="C0C0C0"/>
          </w:tcPr>
          <w:p w:rsidR="00000000" w:rsidRDefault="00D35856">
            <w:pPr>
              <w:keepNext w:val="0"/>
              <w:spacing w:after="0"/>
              <w:rPr>
                <w:rFonts w:ascii="Arial" w:hAnsi="Arial" w:cs="Arial"/>
                <w:b/>
                <w:sz w:val="18"/>
                <w:szCs w:val="18"/>
              </w:rPr>
            </w:pPr>
            <w:r>
              <w:rPr>
                <w:rFonts w:ascii="Arial" w:hAnsi="Arial" w:cs="Arial"/>
                <w:b/>
                <w:sz w:val="18"/>
                <w:szCs w:val="18"/>
              </w:rPr>
              <w:t>3-star</w:t>
            </w:r>
          </w:p>
        </w:tc>
        <w:tc>
          <w:tcPr>
            <w:tcW w:w="1002" w:type="pct"/>
            <w:shd w:val="clear" w:color="auto" w:fill="C0C0C0"/>
          </w:tcPr>
          <w:p w:rsidR="00000000" w:rsidRDefault="00D35856">
            <w:pPr>
              <w:keepNext w:val="0"/>
              <w:spacing w:after="0"/>
              <w:rPr>
                <w:rFonts w:ascii="Arial" w:hAnsi="Arial" w:cs="Arial"/>
                <w:b/>
                <w:sz w:val="18"/>
                <w:szCs w:val="18"/>
              </w:rPr>
            </w:pPr>
            <w:r>
              <w:rPr>
                <w:rFonts w:ascii="Arial" w:hAnsi="Arial" w:cs="Arial"/>
                <w:b/>
                <w:sz w:val="18"/>
                <w:szCs w:val="18"/>
              </w:rPr>
              <w:t>5-star</w:t>
            </w:r>
          </w:p>
        </w:tc>
      </w:tr>
      <w:tr w:rsidR="00000000">
        <w:tc>
          <w:tcPr>
            <w:tcW w:w="1020" w:type="pct"/>
          </w:tcPr>
          <w:p w:rsidR="00000000" w:rsidRDefault="00D35856">
            <w:pPr>
              <w:keepNext w:val="0"/>
              <w:spacing w:after="0"/>
              <w:rPr>
                <w:rFonts w:ascii="Arial" w:hAnsi="Arial" w:cs="Arial"/>
                <w:sz w:val="18"/>
                <w:szCs w:val="18"/>
              </w:rPr>
            </w:pPr>
            <w:r>
              <w:rPr>
                <w:rFonts w:ascii="Arial" w:hAnsi="Arial" w:cs="Arial"/>
                <w:sz w:val="18"/>
                <w:szCs w:val="18"/>
              </w:rPr>
              <w:t>2008</w:t>
            </w:r>
          </w:p>
        </w:tc>
        <w:tc>
          <w:tcPr>
            <w:tcW w:w="950" w:type="pct"/>
          </w:tcPr>
          <w:p w:rsidR="00000000" w:rsidRDefault="00D35856">
            <w:pPr>
              <w:keepNext w:val="0"/>
              <w:spacing w:after="0"/>
              <w:rPr>
                <w:rFonts w:ascii="Arial" w:hAnsi="Arial" w:cs="Arial"/>
                <w:sz w:val="18"/>
                <w:szCs w:val="18"/>
              </w:rPr>
            </w:pPr>
            <w:r>
              <w:rPr>
                <w:rFonts w:ascii="Arial" w:hAnsi="Arial" w:cs="Arial"/>
                <w:sz w:val="18"/>
                <w:szCs w:val="18"/>
              </w:rPr>
              <w:t>New</w:t>
            </w:r>
          </w:p>
        </w:tc>
        <w:tc>
          <w:tcPr>
            <w:tcW w:w="1015" w:type="pct"/>
          </w:tcPr>
          <w:p w:rsidR="00000000" w:rsidRDefault="00D35856">
            <w:pPr>
              <w:keepNext w:val="0"/>
              <w:spacing w:after="0"/>
              <w:rPr>
                <w:rFonts w:ascii="Arial" w:hAnsi="Arial" w:cs="Arial"/>
                <w:sz w:val="18"/>
                <w:szCs w:val="18"/>
              </w:rPr>
            </w:pPr>
            <w:r>
              <w:rPr>
                <w:rFonts w:ascii="Arial" w:hAnsi="Arial" w:cs="Arial"/>
                <w:sz w:val="18"/>
                <w:szCs w:val="18"/>
              </w:rPr>
              <w:t>10%</w:t>
            </w:r>
          </w:p>
        </w:tc>
        <w:tc>
          <w:tcPr>
            <w:tcW w:w="1013" w:type="pct"/>
          </w:tcPr>
          <w:p w:rsidR="00000000" w:rsidRDefault="00D35856">
            <w:pPr>
              <w:keepNext w:val="0"/>
              <w:spacing w:after="0"/>
              <w:rPr>
                <w:rFonts w:ascii="Arial" w:hAnsi="Arial" w:cs="Arial"/>
                <w:sz w:val="18"/>
                <w:szCs w:val="18"/>
              </w:rPr>
            </w:pPr>
            <w:r>
              <w:rPr>
                <w:rFonts w:ascii="Arial" w:hAnsi="Arial" w:cs="Arial"/>
                <w:sz w:val="18"/>
                <w:szCs w:val="18"/>
              </w:rPr>
              <w:t>90%</w:t>
            </w:r>
          </w:p>
        </w:tc>
        <w:tc>
          <w:tcPr>
            <w:tcW w:w="1002" w:type="pct"/>
          </w:tcPr>
          <w:p w:rsidR="00000000" w:rsidRDefault="00D35856">
            <w:pPr>
              <w:keepNext w:val="0"/>
              <w:spacing w:after="0"/>
              <w:rPr>
                <w:rFonts w:ascii="Arial" w:hAnsi="Arial" w:cs="Arial"/>
                <w:sz w:val="18"/>
                <w:szCs w:val="18"/>
              </w:rPr>
            </w:pPr>
            <w:r>
              <w:rPr>
                <w:rFonts w:ascii="Arial" w:hAnsi="Arial" w:cs="Arial"/>
                <w:sz w:val="18"/>
                <w:szCs w:val="18"/>
              </w:rPr>
              <w:t>0%</w:t>
            </w:r>
          </w:p>
        </w:tc>
      </w:tr>
      <w:tr w:rsidR="00000000">
        <w:tc>
          <w:tcPr>
            <w:tcW w:w="1020" w:type="pct"/>
          </w:tcPr>
          <w:p w:rsidR="00000000" w:rsidRDefault="00D35856">
            <w:pPr>
              <w:keepNext w:val="0"/>
              <w:spacing w:after="0"/>
              <w:rPr>
                <w:rFonts w:ascii="Arial" w:hAnsi="Arial" w:cs="Arial"/>
                <w:sz w:val="18"/>
                <w:szCs w:val="18"/>
              </w:rPr>
            </w:pPr>
            <w:r>
              <w:rPr>
                <w:rFonts w:ascii="Arial" w:hAnsi="Arial" w:cs="Arial"/>
                <w:sz w:val="18"/>
                <w:szCs w:val="18"/>
              </w:rPr>
              <w:t>2011</w:t>
            </w:r>
          </w:p>
        </w:tc>
        <w:tc>
          <w:tcPr>
            <w:tcW w:w="950" w:type="pct"/>
          </w:tcPr>
          <w:p w:rsidR="00000000" w:rsidRDefault="00D35856">
            <w:pPr>
              <w:keepNext w:val="0"/>
              <w:spacing w:after="0"/>
              <w:rPr>
                <w:rFonts w:ascii="Arial" w:hAnsi="Arial" w:cs="Arial"/>
                <w:sz w:val="18"/>
                <w:szCs w:val="18"/>
              </w:rPr>
            </w:pPr>
            <w:r>
              <w:rPr>
                <w:rFonts w:ascii="Arial" w:hAnsi="Arial" w:cs="Arial"/>
                <w:sz w:val="18"/>
                <w:szCs w:val="18"/>
              </w:rPr>
              <w:t>New</w:t>
            </w:r>
          </w:p>
        </w:tc>
        <w:tc>
          <w:tcPr>
            <w:tcW w:w="1015" w:type="pct"/>
          </w:tcPr>
          <w:p w:rsidR="00000000" w:rsidRDefault="00D35856">
            <w:pPr>
              <w:keepNext w:val="0"/>
              <w:spacing w:after="0"/>
              <w:rPr>
                <w:rFonts w:ascii="Arial" w:hAnsi="Arial" w:cs="Arial"/>
                <w:sz w:val="18"/>
                <w:szCs w:val="18"/>
              </w:rPr>
            </w:pPr>
            <w:r>
              <w:rPr>
                <w:rFonts w:ascii="Arial" w:hAnsi="Arial" w:cs="Arial"/>
                <w:sz w:val="18"/>
                <w:szCs w:val="18"/>
              </w:rPr>
              <w:t>5%</w:t>
            </w:r>
          </w:p>
        </w:tc>
        <w:tc>
          <w:tcPr>
            <w:tcW w:w="1013" w:type="pct"/>
          </w:tcPr>
          <w:p w:rsidR="00000000" w:rsidRDefault="00D35856">
            <w:pPr>
              <w:keepNext w:val="0"/>
              <w:spacing w:after="0"/>
              <w:rPr>
                <w:rFonts w:ascii="Arial" w:hAnsi="Arial" w:cs="Arial"/>
                <w:sz w:val="18"/>
                <w:szCs w:val="18"/>
              </w:rPr>
            </w:pPr>
            <w:r>
              <w:rPr>
                <w:rFonts w:ascii="Arial" w:hAnsi="Arial" w:cs="Arial"/>
                <w:sz w:val="18"/>
                <w:szCs w:val="18"/>
              </w:rPr>
              <w:t>90%</w:t>
            </w:r>
          </w:p>
        </w:tc>
        <w:tc>
          <w:tcPr>
            <w:tcW w:w="1002" w:type="pct"/>
          </w:tcPr>
          <w:p w:rsidR="00000000" w:rsidRDefault="00D35856">
            <w:pPr>
              <w:keepNext w:val="0"/>
              <w:spacing w:after="0"/>
              <w:rPr>
                <w:rFonts w:ascii="Arial" w:hAnsi="Arial" w:cs="Arial"/>
                <w:sz w:val="18"/>
                <w:szCs w:val="18"/>
              </w:rPr>
            </w:pPr>
            <w:r>
              <w:rPr>
                <w:rFonts w:ascii="Arial" w:hAnsi="Arial" w:cs="Arial"/>
                <w:sz w:val="18"/>
                <w:szCs w:val="18"/>
              </w:rPr>
              <w:t>5%</w:t>
            </w:r>
          </w:p>
        </w:tc>
      </w:tr>
      <w:tr w:rsidR="00000000">
        <w:tc>
          <w:tcPr>
            <w:tcW w:w="1020" w:type="pct"/>
          </w:tcPr>
          <w:p w:rsidR="00000000" w:rsidRDefault="00D35856">
            <w:pPr>
              <w:keepNext w:val="0"/>
              <w:spacing w:after="0"/>
              <w:rPr>
                <w:rFonts w:ascii="Arial" w:hAnsi="Arial" w:cs="Arial"/>
                <w:sz w:val="18"/>
                <w:szCs w:val="18"/>
              </w:rPr>
            </w:pPr>
            <w:r>
              <w:rPr>
                <w:rFonts w:ascii="Arial" w:hAnsi="Arial" w:cs="Arial"/>
                <w:sz w:val="18"/>
                <w:szCs w:val="18"/>
              </w:rPr>
              <w:t>2021</w:t>
            </w:r>
          </w:p>
        </w:tc>
        <w:tc>
          <w:tcPr>
            <w:tcW w:w="950" w:type="pct"/>
          </w:tcPr>
          <w:p w:rsidR="00000000" w:rsidRDefault="00D35856">
            <w:pPr>
              <w:keepNext w:val="0"/>
              <w:spacing w:after="0"/>
              <w:rPr>
                <w:rFonts w:ascii="Arial" w:hAnsi="Arial" w:cs="Arial"/>
                <w:sz w:val="18"/>
                <w:szCs w:val="18"/>
              </w:rPr>
            </w:pPr>
            <w:r>
              <w:rPr>
                <w:rFonts w:ascii="Arial" w:hAnsi="Arial" w:cs="Arial"/>
                <w:sz w:val="18"/>
                <w:szCs w:val="18"/>
              </w:rPr>
              <w:t>New</w:t>
            </w:r>
          </w:p>
        </w:tc>
        <w:tc>
          <w:tcPr>
            <w:tcW w:w="1015" w:type="pct"/>
          </w:tcPr>
          <w:p w:rsidR="00000000" w:rsidRDefault="00D35856">
            <w:pPr>
              <w:keepNext w:val="0"/>
              <w:spacing w:after="0"/>
              <w:rPr>
                <w:rFonts w:ascii="Arial" w:hAnsi="Arial" w:cs="Arial"/>
                <w:sz w:val="18"/>
                <w:szCs w:val="18"/>
              </w:rPr>
            </w:pPr>
            <w:r>
              <w:rPr>
                <w:rFonts w:ascii="Arial" w:hAnsi="Arial" w:cs="Arial"/>
                <w:sz w:val="18"/>
                <w:szCs w:val="18"/>
              </w:rPr>
              <w:t>0%</w:t>
            </w:r>
          </w:p>
        </w:tc>
        <w:tc>
          <w:tcPr>
            <w:tcW w:w="1013" w:type="pct"/>
          </w:tcPr>
          <w:p w:rsidR="00000000" w:rsidRDefault="00D35856">
            <w:pPr>
              <w:keepNext w:val="0"/>
              <w:spacing w:after="0"/>
              <w:rPr>
                <w:rFonts w:ascii="Arial" w:hAnsi="Arial" w:cs="Arial"/>
                <w:sz w:val="18"/>
                <w:szCs w:val="18"/>
              </w:rPr>
            </w:pPr>
            <w:r>
              <w:rPr>
                <w:rFonts w:ascii="Arial" w:hAnsi="Arial" w:cs="Arial"/>
                <w:sz w:val="18"/>
                <w:szCs w:val="18"/>
              </w:rPr>
              <w:t>90%</w:t>
            </w:r>
          </w:p>
        </w:tc>
        <w:tc>
          <w:tcPr>
            <w:tcW w:w="1002" w:type="pct"/>
          </w:tcPr>
          <w:p w:rsidR="00000000" w:rsidRDefault="00D35856">
            <w:pPr>
              <w:keepNext w:val="0"/>
              <w:spacing w:after="0"/>
              <w:rPr>
                <w:rFonts w:ascii="Arial" w:hAnsi="Arial" w:cs="Arial"/>
                <w:sz w:val="18"/>
                <w:szCs w:val="18"/>
              </w:rPr>
            </w:pPr>
            <w:r>
              <w:rPr>
                <w:rFonts w:ascii="Arial" w:hAnsi="Arial" w:cs="Arial"/>
                <w:sz w:val="18"/>
                <w:szCs w:val="18"/>
              </w:rPr>
              <w:t>10%</w:t>
            </w:r>
          </w:p>
        </w:tc>
      </w:tr>
      <w:tr w:rsidR="00000000">
        <w:tc>
          <w:tcPr>
            <w:tcW w:w="1020" w:type="pct"/>
          </w:tcPr>
          <w:p w:rsidR="00000000" w:rsidRDefault="00D35856">
            <w:pPr>
              <w:keepNext w:val="0"/>
              <w:spacing w:after="0"/>
              <w:rPr>
                <w:rFonts w:ascii="Arial" w:hAnsi="Arial" w:cs="Arial"/>
                <w:sz w:val="18"/>
                <w:szCs w:val="18"/>
              </w:rPr>
            </w:pPr>
            <w:r>
              <w:rPr>
                <w:rFonts w:ascii="Arial" w:hAnsi="Arial" w:cs="Arial"/>
                <w:sz w:val="18"/>
                <w:szCs w:val="18"/>
              </w:rPr>
              <w:t>2008</w:t>
            </w:r>
          </w:p>
        </w:tc>
        <w:tc>
          <w:tcPr>
            <w:tcW w:w="950" w:type="pct"/>
          </w:tcPr>
          <w:p w:rsidR="00000000" w:rsidRDefault="00D35856">
            <w:pPr>
              <w:keepNext w:val="0"/>
              <w:spacing w:after="0"/>
              <w:rPr>
                <w:rFonts w:ascii="Arial" w:hAnsi="Arial" w:cs="Arial"/>
                <w:sz w:val="18"/>
                <w:szCs w:val="18"/>
              </w:rPr>
            </w:pPr>
            <w:r>
              <w:rPr>
                <w:rFonts w:ascii="Arial" w:hAnsi="Arial" w:cs="Arial"/>
                <w:sz w:val="18"/>
                <w:szCs w:val="18"/>
              </w:rPr>
              <w:t>Renovated</w:t>
            </w:r>
          </w:p>
        </w:tc>
        <w:tc>
          <w:tcPr>
            <w:tcW w:w="1015" w:type="pct"/>
          </w:tcPr>
          <w:p w:rsidR="00000000" w:rsidRDefault="00D35856">
            <w:pPr>
              <w:keepNext w:val="0"/>
              <w:spacing w:after="0"/>
              <w:rPr>
                <w:rFonts w:ascii="Arial" w:hAnsi="Arial" w:cs="Arial"/>
                <w:sz w:val="18"/>
                <w:szCs w:val="18"/>
              </w:rPr>
            </w:pPr>
            <w:r>
              <w:rPr>
                <w:rFonts w:ascii="Arial" w:hAnsi="Arial" w:cs="Arial"/>
                <w:sz w:val="18"/>
                <w:szCs w:val="18"/>
              </w:rPr>
              <w:t>20%</w:t>
            </w:r>
          </w:p>
        </w:tc>
        <w:tc>
          <w:tcPr>
            <w:tcW w:w="1013" w:type="pct"/>
          </w:tcPr>
          <w:p w:rsidR="00000000" w:rsidRDefault="00D35856">
            <w:pPr>
              <w:keepNext w:val="0"/>
              <w:spacing w:after="0"/>
              <w:rPr>
                <w:rFonts w:ascii="Arial" w:hAnsi="Arial" w:cs="Arial"/>
                <w:sz w:val="18"/>
                <w:szCs w:val="18"/>
              </w:rPr>
            </w:pPr>
            <w:r>
              <w:rPr>
                <w:rFonts w:ascii="Arial" w:hAnsi="Arial" w:cs="Arial"/>
                <w:sz w:val="18"/>
                <w:szCs w:val="18"/>
              </w:rPr>
              <w:t>80%</w:t>
            </w:r>
          </w:p>
        </w:tc>
        <w:tc>
          <w:tcPr>
            <w:tcW w:w="1002" w:type="pct"/>
          </w:tcPr>
          <w:p w:rsidR="00000000" w:rsidRDefault="00D35856">
            <w:pPr>
              <w:keepNext w:val="0"/>
              <w:spacing w:after="0"/>
              <w:rPr>
                <w:rFonts w:ascii="Arial" w:hAnsi="Arial" w:cs="Arial"/>
                <w:sz w:val="18"/>
                <w:szCs w:val="18"/>
              </w:rPr>
            </w:pPr>
            <w:r>
              <w:rPr>
                <w:rFonts w:ascii="Arial" w:hAnsi="Arial" w:cs="Arial"/>
                <w:sz w:val="18"/>
                <w:szCs w:val="18"/>
              </w:rPr>
              <w:t>0%</w:t>
            </w:r>
          </w:p>
        </w:tc>
      </w:tr>
      <w:tr w:rsidR="00000000">
        <w:tc>
          <w:tcPr>
            <w:tcW w:w="1020" w:type="pct"/>
          </w:tcPr>
          <w:p w:rsidR="00000000" w:rsidRDefault="00D35856">
            <w:pPr>
              <w:keepNext w:val="0"/>
              <w:spacing w:after="0"/>
              <w:rPr>
                <w:rFonts w:ascii="Arial" w:hAnsi="Arial" w:cs="Arial"/>
                <w:sz w:val="18"/>
                <w:szCs w:val="18"/>
              </w:rPr>
            </w:pPr>
            <w:r>
              <w:rPr>
                <w:rFonts w:ascii="Arial" w:hAnsi="Arial" w:cs="Arial"/>
                <w:sz w:val="18"/>
                <w:szCs w:val="18"/>
              </w:rPr>
              <w:t>2011</w:t>
            </w:r>
          </w:p>
        </w:tc>
        <w:tc>
          <w:tcPr>
            <w:tcW w:w="950" w:type="pct"/>
          </w:tcPr>
          <w:p w:rsidR="00000000" w:rsidRDefault="00D35856">
            <w:pPr>
              <w:keepNext w:val="0"/>
              <w:spacing w:after="0"/>
              <w:rPr>
                <w:rFonts w:ascii="Arial" w:hAnsi="Arial" w:cs="Arial"/>
                <w:sz w:val="18"/>
                <w:szCs w:val="18"/>
              </w:rPr>
            </w:pPr>
            <w:r>
              <w:rPr>
                <w:rFonts w:ascii="Arial" w:hAnsi="Arial" w:cs="Arial"/>
                <w:sz w:val="18"/>
                <w:szCs w:val="18"/>
              </w:rPr>
              <w:t>Renovated</w:t>
            </w:r>
          </w:p>
        </w:tc>
        <w:tc>
          <w:tcPr>
            <w:tcW w:w="1015" w:type="pct"/>
          </w:tcPr>
          <w:p w:rsidR="00000000" w:rsidRDefault="00D35856">
            <w:pPr>
              <w:keepNext w:val="0"/>
              <w:spacing w:after="0"/>
              <w:rPr>
                <w:rFonts w:ascii="Arial" w:hAnsi="Arial" w:cs="Arial"/>
                <w:sz w:val="18"/>
                <w:szCs w:val="18"/>
              </w:rPr>
            </w:pPr>
            <w:r>
              <w:rPr>
                <w:rFonts w:ascii="Arial" w:hAnsi="Arial" w:cs="Arial"/>
                <w:sz w:val="18"/>
                <w:szCs w:val="18"/>
              </w:rPr>
              <w:t>5%</w:t>
            </w:r>
          </w:p>
        </w:tc>
        <w:tc>
          <w:tcPr>
            <w:tcW w:w="1013" w:type="pct"/>
          </w:tcPr>
          <w:p w:rsidR="00000000" w:rsidRDefault="00D35856">
            <w:pPr>
              <w:keepNext w:val="0"/>
              <w:spacing w:after="0"/>
              <w:rPr>
                <w:rFonts w:ascii="Arial" w:hAnsi="Arial" w:cs="Arial"/>
                <w:sz w:val="18"/>
                <w:szCs w:val="18"/>
              </w:rPr>
            </w:pPr>
            <w:r>
              <w:rPr>
                <w:rFonts w:ascii="Arial" w:hAnsi="Arial" w:cs="Arial"/>
                <w:sz w:val="18"/>
                <w:szCs w:val="18"/>
              </w:rPr>
              <w:t>90%</w:t>
            </w:r>
          </w:p>
        </w:tc>
        <w:tc>
          <w:tcPr>
            <w:tcW w:w="1002" w:type="pct"/>
          </w:tcPr>
          <w:p w:rsidR="00000000" w:rsidRDefault="00D35856">
            <w:pPr>
              <w:keepNext w:val="0"/>
              <w:spacing w:after="0"/>
              <w:rPr>
                <w:rFonts w:ascii="Arial" w:hAnsi="Arial" w:cs="Arial"/>
                <w:sz w:val="18"/>
                <w:szCs w:val="18"/>
              </w:rPr>
            </w:pPr>
            <w:r>
              <w:rPr>
                <w:rFonts w:ascii="Arial" w:hAnsi="Arial" w:cs="Arial"/>
                <w:sz w:val="18"/>
                <w:szCs w:val="18"/>
              </w:rPr>
              <w:t>5%</w:t>
            </w:r>
          </w:p>
        </w:tc>
      </w:tr>
      <w:tr w:rsidR="00000000">
        <w:tc>
          <w:tcPr>
            <w:tcW w:w="1020" w:type="pct"/>
          </w:tcPr>
          <w:p w:rsidR="00000000" w:rsidRDefault="00D35856">
            <w:pPr>
              <w:keepNext w:val="0"/>
              <w:spacing w:after="0"/>
              <w:rPr>
                <w:rFonts w:ascii="Arial" w:hAnsi="Arial" w:cs="Arial"/>
                <w:sz w:val="18"/>
                <w:szCs w:val="18"/>
              </w:rPr>
            </w:pPr>
            <w:r>
              <w:rPr>
                <w:rFonts w:ascii="Arial" w:hAnsi="Arial" w:cs="Arial"/>
                <w:sz w:val="18"/>
                <w:szCs w:val="18"/>
              </w:rPr>
              <w:t>2021</w:t>
            </w:r>
          </w:p>
        </w:tc>
        <w:tc>
          <w:tcPr>
            <w:tcW w:w="950" w:type="pct"/>
          </w:tcPr>
          <w:p w:rsidR="00000000" w:rsidRDefault="00D35856">
            <w:pPr>
              <w:keepNext w:val="0"/>
              <w:spacing w:after="0"/>
              <w:rPr>
                <w:rFonts w:ascii="Arial" w:hAnsi="Arial" w:cs="Arial"/>
                <w:sz w:val="18"/>
                <w:szCs w:val="18"/>
              </w:rPr>
            </w:pPr>
            <w:r>
              <w:rPr>
                <w:rFonts w:ascii="Arial" w:hAnsi="Arial" w:cs="Arial"/>
                <w:sz w:val="18"/>
                <w:szCs w:val="18"/>
              </w:rPr>
              <w:t>Renovated</w:t>
            </w:r>
          </w:p>
        </w:tc>
        <w:tc>
          <w:tcPr>
            <w:tcW w:w="1015" w:type="pct"/>
          </w:tcPr>
          <w:p w:rsidR="00000000" w:rsidRDefault="00D35856">
            <w:pPr>
              <w:keepNext w:val="0"/>
              <w:spacing w:after="0"/>
              <w:rPr>
                <w:rFonts w:ascii="Arial" w:hAnsi="Arial" w:cs="Arial"/>
                <w:sz w:val="18"/>
                <w:szCs w:val="18"/>
              </w:rPr>
            </w:pPr>
            <w:r>
              <w:rPr>
                <w:rFonts w:ascii="Arial" w:hAnsi="Arial" w:cs="Arial"/>
                <w:sz w:val="18"/>
                <w:szCs w:val="18"/>
              </w:rPr>
              <w:t>0%</w:t>
            </w:r>
          </w:p>
        </w:tc>
        <w:tc>
          <w:tcPr>
            <w:tcW w:w="1013" w:type="pct"/>
          </w:tcPr>
          <w:p w:rsidR="00000000" w:rsidRDefault="00D35856">
            <w:pPr>
              <w:keepNext w:val="0"/>
              <w:spacing w:after="0"/>
              <w:rPr>
                <w:rFonts w:ascii="Arial" w:hAnsi="Arial" w:cs="Arial"/>
                <w:sz w:val="18"/>
                <w:szCs w:val="18"/>
              </w:rPr>
            </w:pPr>
            <w:r>
              <w:rPr>
                <w:rFonts w:ascii="Arial" w:hAnsi="Arial" w:cs="Arial"/>
                <w:sz w:val="18"/>
                <w:szCs w:val="18"/>
              </w:rPr>
              <w:t>90%</w:t>
            </w:r>
          </w:p>
        </w:tc>
        <w:tc>
          <w:tcPr>
            <w:tcW w:w="1002" w:type="pct"/>
          </w:tcPr>
          <w:p w:rsidR="00000000" w:rsidRDefault="00D35856">
            <w:pPr>
              <w:keepNext w:val="0"/>
              <w:spacing w:after="0"/>
              <w:rPr>
                <w:rFonts w:ascii="Arial" w:hAnsi="Arial" w:cs="Arial"/>
                <w:sz w:val="18"/>
                <w:szCs w:val="18"/>
              </w:rPr>
            </w:pPr>
            <w:r>
              <w:rPr>
                <w:rFonts w:ascii="Arial" w:hAnsi="Arial" w:cs="Arial"/>
                <w:sz w:val="18"/>
                <w:szCs w:val="18"/>
              </w:rPr>
              <w:t>10%</w:t>
            </w:r>
          </w:p>
        </w:tc>
      </w:tr>
    </w:tbl>
    <w:p w:rsidR="00000000" w:rsidRDefault="00D35856">
      <w:pPr>
        <w:keepNext w:val="0"/>
      </w:pPr>
    </w:p>
    <w:p w:rsidR="00000000" w:rsidRDefault="00D35856">
      <w:pPr>
        <w:pStyle w:val="Heading4"/>
        <w:keepNext w:val="0"/>
        <w:rPr>
          <w:color w:val="auto"/>
        </w:rPr>
      </w:pPr>
      <w:r>
        <w:rPr>
          <w:color w:val="auto"/>
        </w:rPr>
        <w:t>Analysis of confounding factors</w:t>
      </w:r>
    </w:p>
    <w:p w:rsidR="00000000" w:rsidRDefault="00D35856">
      <w:pPr>
        <w:keepNext w:val="0"/>
        <w:rPr>
          <w:b/>
        </w:rPr>
      </w:pPr>
      <w:r>
        <w:t>Commercial showers: estimated savings from this analysis will be conservative as they do not consider the showers that will be installed in new commercial buildings (e.g.</w:t>
      </w:r>
      <w:r>
        <w:t xml:space="preserve"> hotels, gymnasiums, workplaces). </w:t>
      </w:r>
    </w:p>
    <w:p w:rsidR="00000000" w:rsidRDefault="00D35856">
      <w:pPr>
        <w:pStyle w:val="Heading3"/>
        <w:keepNext w:val="0"/>
        <w:numPr>
          <w:ilvl w:val="2"/>
          <w:numId w:val="3"/>
        </w:numPr>
        <w:tabs>
          <w:tab w:val="clear" w:pos="1440"/>
        </w:tabs>
        <w:ind w:left="851" w:hanging="851"/>
        <w:rPr>
          <w:color w:val="auto"/>
        </w:rPr>
      </w:pPr>
      <w:bookmarkStart w:id="106" w:name="_Toc190583789"/>
      <w:bookmarkStart w:id="107" w:name="_Toc191452231"/>
      <w:bookmarkStart w:id="108" w:name="_Toc199933741"/>
      <w:r>
        <w:rPr>
          <w:color w:val="auto"/>
        </w:rPr>
        <w:t>Toilets and urinals</w:t>
      </w:r>
      <w:bookmarkEnd w:id="106"/>
      <w:bookmarkEnd w:id="107"/>
      <w:bookmarkEnd w:id="108"/>
    </w:p>
    <w:p w:rsidR="00000000" w:rsidRDefault="00D35856">
      <w:pPr>
        <w:pStyle w:val="Heading4"/>
        <w:keepNext w:val="0"/>
        <w:rPr>
          <w:color w:val="auto"/>
        </w:rPr>
      </w:pPr>
      <w:r>
        <w:rPr>
          <w:color w:val="auto"/>
        </w:rPr>
        <w:t xml:space="preserve">Table 3-9 – Toilets and urinals available data sources </w:t>
      </w:r>
    </w:p>
    <w:tbl>
      <w:tblPr>
        <w:tblStyle w:val="TableGrid"/>
        <w:tblW w:w="8755" w:type="dxa"/>
        <w:tblLook w:val="01E0"/>
      </w:tblPr>
      <w:tblGrid>
        <w:gridCol w:w="1668"/>
        <w:gridCol w:w="3543"/>
        <w:gridCol w:w="3544"/>
      </w:tblGrid>
      <w:tr w:rsidR="00000000">
        <w:trPr>
          <w:trHeight w:val="516"/>
        </w:trPr>
        <w:tc>
          <w:tcPr>
            <w:tcW w:w="1668" w:type="dxa"/>
            <w:shd w:val="clear" w:color="auto" w:fill="CCCCCC"/>
          </w:tcPr>
          <w:p w:rsidR="00000000" w:rsidRDefault="00D35856">
            <w:pPr>
              <w:keepNext w:val="0"/>
              <w:spacing w:after="0"/>
              <w:rPr>
                <w:rFonts w:ascii="Arial" w:hAnsi="Arial" w:cs="Arial"/>
                <w:b/>
                <w:sz w:val="20"/>
              </w:rPr>
            </w:pPr>
            <w:r>
              <w:rPr>
                <w:rFonts w:ascii="Arial" w:hAnsi="Arial" w:cs="Arial"/>
                <w:b/>
                <w:sz w:val="20"/>
              </w:rPr>
              <w:t>Data source</w:t>
            </w:r>
          </w:p>
        </w:tc>
        <w:tc>
          <w:tcPr>
            <w:tcW w:w="3543" w:type="dxa"/>
            <w:shd w:val="clear" w:color="auto" w:fill="CCCCCC"/>
          </w:tcPr>
          <w:p w:rsidR="00000000" w:rsidRDefault="00D35856">
            <w:pPr>
              <w:keepNext w:val="0"/>
              <w:spacing w:after="0"/>
              <w:jc w:val="center"/>
              <w:rPr>
                <w:rFonts w:ascii="Arial" w:hAnsi="Arial" w:cs="Arial"/>
                <w:b/>
                <w:sz w:val="20"/>
              </w:rPr>
            </w:pPr>
            <w:r>
              <w:rPr>
                <w:rFonts w:ascii="Arial" w:hAnsi="Arial" w:cs="Arial"/>
                <w:b/>
                <w:sz w:val="20"/>
              </w:rPr>
              <w:t>Components / detail</w:t>
            </w:r>
          </w:p>
        </w:tc>
        <w:tc>
          <w:tcPr>
            <w:tcW w:w="3544" w:type="dxa"/>
            <w:shd w:val="clear" w:color="auto" w:fill="CCCCCC"/>
          </w:tcPr>
          <w:p w:rsidR="00000000" w:rsidRDefault="00D35856">
            <w:pPr>
              <w:keepNext w:val="0"/>
              <w:spacing w:after="0"/>
              <w:jc w:val="center"/>
              <w:rPr>
                <w:rFonts w:ascii="Arial" w:hAnsi="Arial" w:cs="Arial"/>
                <w:b/>
                <w:sz w:val="20"/>
              </w:rPr>
            </w:pPr>
            <w:r>
              <w:rPr>
                <w:rFonts w:ascii="Arial" w:hAnsi="Arial" w:cs="Arial"/>
                <w:b/>
                <w:sz w:val="20"/>
              </w:rPr>
              <w:t>Comment</w:t>
            </w:r>
          </w:p>
        </w:tc>
      </w:tr>
      <w:tr w:rsidR="00000000">
        <w:tc>
          <w:tcPr>
            <w:tcW w:w="1668" w:type="dxa"/>
          </w:tcPr>
          <w:p w:rsidR="00000000" w:rsidRDefault="00D35856">
            <w:pPr>
              <w:keepNext w:val="0"/>
              <w:spacing w:after="0"/>
              <w:rPr>
                <w:rFonts w:ascii="Arial" w:hAnsi="Arial" w:cs="Arial"/>
                <w:sz w:val="18"/>
              </w:rPr>
            </w:pPr>
            <w:r>
              <w:rPr>
                <w:rFonts w:ascii="Arial" w:hAnsi="Arial" w:cs="Arial"/>
                <w:sz w:val="18"/>
              </w:rPr>
              <w:t>1. ISF Toilet Stock Model in "Analysis of Australian opportunities for more water-efficient toilets" (Schlunke et al., 2008)</w:t>
            </w:r>
          </w:p>
        </w:tc>
        <w:tc>
          <w:tcPr>
            <w:tcW w:w="3543" w:type="dxa"/>
          </w:tcPr>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 xml:space="preserve">Toilet stock model by toilet type </w:t>
            </w:r>
          </w:p>
          <w:p w:rsidR="00000000" w:rsidRDefault="00D35856">
            <w:pPr>
              <w:keepNext w:val="0"/>
              <w:numPr>
                <w:ilvl w:val="0"/>
                <w:numId w:val="5"/>
              </w:numPr>
              <w:spacing w:after="0"/>
              <w:rPr>
                <w:rFonts w:ascii="Arial" w:hAnsi="Arial" w:cs="Arial"/>
                <w:sz w:val="18"/>
              </w:rPr>
            </w:pPr>
            <w:r>
              <w:rPr>
                <w:rFonts w:ascii="Arial" w:hAnsi="Arial" w:cs="Arial"/>
                <w:sz w:val="18"/>
              </w:rPr>
              <w:t>Single flush</w:t>
            </w:r>
          </w:p>
          <w:p w:rsidR="00000000" w:rsidRDefault="00D35856">
            <w:pPr>
              <w:keepNext w:val="0"/>
              <w:numPr>
                <w:ilvl w:val="0"/>
                <w:numId w:val="5"/>
              </w:numPr>
              <w:spacing w:after="0"/>
              <w:rPr>
                <w:rFonts w:ascii="Arial" w:hAnsi="Arial" w:cs="Arial"/>
                <w:sz w:val="18"/>
              </w:rPr>
            </w:pPr>
            <w:r>
              <w:rPr>
                <w:rFonts w:ascii="Arial" w:hAnsi="Arial" w:cs="Arial"/>
                <w:sz w:val="18"/>
              </w:rPr>
              <w:t>11/6L Dual flush</w:t>
            </w:r>
          </w:p>
          <w:p w:rsidR="00000000" w:rsidRDefault="00D35856">
            <w:pPr>
              <w:keepNext w:val="0"/>
              <w:numPr>
                <w:ilvl w:val="0"/>
                <w:numId w:val="5"/>
              </w:numPr>
              <w:spacing w:after="0"/>
              <w:rPr>
                <w:rFonts w:ascii="Arial" w:hAnsi="Arial" w:cs="Arial"/>
                <w:sz w:val="18"/>
              </w:rPr>
            </w:pPr>
            <w:r>
              <w:rPr>
                <w:rFonts w:ascii="Arial" w:hAnsi="Arial" w:cs="Arial"/>
                <w:sz w:val="18"/>
              </w:rPr>
              <w:t>9/4.5L Dual flush</w:t>
            </w:r>
          </w:p>
          <w:p w:rsidR="00000000" w:rsidRDefault="00D35856">
            <w:pPr>
              <w:keepNext w:val="0"/>
              <w:numPr>
                <w:ilvl w:val="0"/>
                <w:numId w:val="5"/>
              </w:numPr>
              <w:spacing w:after="0"/>
              <w:rPr>
                <w:rFonts w:ascii="Arial" w:hAnsi="Arial" w:cs="Arial"/>
                <w:sz w:val="18"/>
              </w:rPr>
            </w:pPr>
            <w:r>
              <w:rPr>
                <w:rFonts w:ascii="Arial" w:hAnsi="Arial" w:cs="Arial"/>
                <w:sz w:val="18"/>
              </w:rPr>
              <w:t>6/3L Dual flush</w:t>
            </w:r>
          </w:p>
          <w:p w:rsidR="00000000" w:rsidRDefault="00D35856">
            <w:pPr>
              <w:keepNext w:val="0"/>
              <w:numPr>
                <w:ilvl w:val="0"/>
                <w:numId w:val="5"/>
              </w:numPr>
              <w:spacing w:after="0"/>
              <w:rPr>
                <w:rFonts w:ascii="Arial" w:hAnsi="Arial" w:cs="Arial"/>
                <w:sz w:val="18"/>
              </w:rPr>
            </w:pPr>
            <w:r>
              <w:rPr>
                <w:rFonts w:ascii="Arial" w:hAnsi="Arial" w:cs="Arial"/>
                <w:sz w:val="18"/>
              </w:rPr>
              <w:t>4.5/3L Dual flush</w:t>
            </w:r>
          </w:p>
          <w:p w:rsidR="00000000" w:rsidRDefault="00D35856">
            <w:pPr>
              <w:keepNext w:val="0"/>
              <w:spacing w:after="0"/>
              <w:ind w:left="55"/>
              <w:rPr>
                <w:rFonts w:ascii="Arial" w:hAnsi="Arial" w:cs="Arial"/>
                <w:sz w:val="18"/>
              </w:rPr>
            </w:pPr>
          </w:p>
        </w:tc>
        <w:tc>
          <w:tcPr>
            <w:tcW w:w="3544" w:type="dxa"/>
          </w:tcPr>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National toilet model, calibrated against ABS 4602.0 (2007)</w:t>
            </w:r>
          </w:p>
        </w:tc>
      </w:tr>
      <w:tr w:rsidR="00000000">
        <w:tc>
          <w:tcPr>
            <w:tcW w:w="1668" w:type="dxa"/>
          </w:tcPr>
          <w:p w:rsidR="00000000" w:rsidRDefault="00D35856">
            <w:pPr>
              <w:keepNext w:val="0"/>
              <w:spacing w:after="0"/>
              <w:rPr>
                <w:rFonts w:ascii="Arial" w:hAnsi="Arial" w:cs="Arial"/>
                <w:sz w:val="18"/>
              </w:rPr>
            </w:pPr>
            <w:r>
              <w:rPr>
                <w:rFonts w:ascii="Arial" w:hAnsi="Arial" w:cs="Arial"/>
                <w:sz w:val="18"/>
              </w:rPr>
              <w:t>2.</w:t>
            </w:r>
            <w:smartTag w:uri="urn:schemas-microsoft-com:office:smarttags" w:element="City">
              <w:r>
                <w:rPr>
                  <w:rFonts w:ascii="Arial" w:hAnsi="Arial" w:cs="Arial"/>
                  <w:sz w:val="18"/>
                </w:rPr>
                <w:t>WELS</w:t>
              </w:r>
            </w:smartTag>
            <w:r>
              <w:rPr>
                <w:rFonts w:ascii="Arial" w:hAnsi="Arial" w:cs="Arial"/>
                <w:sz w:val="18"/>
              </w:rPr>
              <w:t xml:space="preserve"> database</w:t>
            </w:r>
          </w:p>
        </w:tc>
        <w:tc>
          <w:tcPr>
            <w:tcW w:w="3543" w:type="dxa"/>
          </w:tcPr>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Number of models registered</w:t>
            </w:r>
          </w:p>
        </w:tc>
        <w:tc>
          <w:tcPr>
            <w:tcW w:w="3544" w:type="dxa"/>
          </w:tcPr>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Not used for calculating water savings</w:t>
            </w:r>
          </w:p>
        </w:tc>
      </w:tr>
      <w:tr w:rsidR="00000000">
        <w:tc>
          <w:tcPr>
            <w:tcW w:w="1668" w:type="dxa"/>
          </w:tcPr>
          <w:p w:rsidR="00000000" w:rsidRDefault="00D35856">
            <w:pPr>
              <w:keepNext w:val="0"/>
              <w:spacing w:after="0"/>
              <w:rPr>
                <w:rFonts w:ascii="Arial" w:hAnsi="Arial" w:cs="Arial"/>
                <w:sz w:val="18"/>
              </w:rPr>
            </w:pPr>
            <w:r>
              <w:rPr>
                <w:rFonts w:ascii="Arial" w:hAnsi="Arial" w:cs="Arial"/>
                <w:sz w:val="18"/>
              </w:rPr>
              <w:t>3. Sales data</w:t>
            </w:r>
            <w:r>
              <w:rPr>
                <w:rFonts w:ascii="Arial" w:hAnsi="Arial" w:cs="Arial"/>
                <w:sz w:val="18"/>
              </w:rPr>
              <w:br/>
              <w:t>(unavailable)</w:t>
            </w:r>
          </w:p>
        </w:tc>
        <w:tc>
          <w:tcPr>
            <w:tcW w:w="3543" w:type="dxa"/>
          </w:tcPr>
          <w:p w:rsidR="00000000" w:rsidRDefault="00D35856">
            <w:pPr>
              <w:keepNext w:val="0"/>
              <w:spacing w:after="0"/>
              <w:ind w:left="55"/>
              <w:rPr>
                <w:rFonts w:ascii="Arial" w:hAnsi="Arial" w:cs="Arial"/>
                <w:sz w:val="18"/>
              </w:rPr>
            </w:pPr>
          </w:p>
        </w:tc>
        <w:tc>
          <w:tcPr>
            <w:tcW w:w="3544" w:type="dxa"/>
          </w:tcPr>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Would be useful but currently not collected (as it is for dishwashers and clothes washers)</w:t>
            </w:r>
          </w:p>
        </w:tc>
      </w:tr>
      <w:tr w:rsidR="00000000">
        <w:tc>
          <w:tcPr>
            <w:tcW w:w="1668" w:type="dxa"/>
          </w:tcPr>
          <w:p w:rsidR="00000000" w:rsidRDefault="00D35856">
            <w:pPr>
              <w:keepNext w:val="0"/>
              <w:spacing w:after="0"/>
              <w:rPr>
                <w:rFonts w:ascii="Arial" w:hAnsi="Arial" w:cs="Arial"/>
                <w:sz w:val="18"/>
              </w:rPr>
            </w:pPr>
            <w:r>
              <w:rPr>
                <w:rFonts w:ascii="Arial" w:hAnsi="Arial" w:cs="Arial"/>
                <w:sz w:val="18"/>
              </w:rPr>
              <w:t>4.Urinals: Plumbing Regulation Update</w:t>
            </w:r>
          </w:p>
        </w:tc>
        <w:tc>
          <w:tcPr>
            <w:tcW w:w="3543" w:type="dxa"/>
          </w:tcPr>
          <w:p w:rsidR="00000000" w:rsidRDefault="00D35856">
            <w:pPr>
              <w:keepNext w:val="0"/>
              <w:numPr>
                <w:ilvl w:val="1"/>
                <w:numId w:val="5"/>
              </w:numPr>
              <w:tabs>
                <w:tab w:val="clear" w:pos="1443"/>
                <w:tab w:val="num" w:pos="276"/>
              </w:tabs>
              <w:spacing w:after="0"/>
              <w:ind w:left="276" w:hanging="221"/>
              <w:rPr>
                <w:rFonts w:ascii="Arial" w:hAnsi="Arial" w:cs="Arial"/>
                <w:sz w:val="18"/>
              </w:rPr>
            </w:pPr>
            <w:r>
              <w:rPr>
                <w:rFonts w:ascii="Arial" w:hAnsi="Arial" w:cs="Arial"/>
                <w:sz w:val="18"/>
              </w:rPr>
              <w:t>Estimate urinal sales and water usage of average and efficient urinals</w:t>
            </w:r>
          </w:p>
        </w:tc>
        <w:tc>
          <w:tcPr>
            <w:tcW w:w="3544" w:type="dxa"/>
          </w:tcPr>
          <w:p w:rsidR="00000000" w:rsidRDefault="00D35856">
            <w:pPr>
              <w:keepNext w:val="0"/>
              <w:spacing w:after="0"/>
              <w:ind w:left="55"/>
              <w:rPr>
                <w:rFonts w:ascii="Arial" w:hAnsi="Arial" w:cs="Arial"/>
                <w:sz w:val="18"/>
              </w:rPr>
            </w:pPr>
          </w:p>
        </w:tc>
      </w:tr>
    </w:tbl>
    <w:p w:rsidR="00000000" w:rsidRDefault="00D35856">
      <w:pPr>
        <w:keepNext w:val="0"/>
      </w:pPr>
    </w:p>
    <w:p w:rsidR="00000000" w:rsidRDefault="00D35856">
      <w:pPr>
        <w:pStyle w:val="Heading4"/>
        <w:keepNext w:val="0"/>
        <w:pageBreakBefore/>
        <w:rPr>
          <w:color w:val="auto"/>
        </w:rPr>
      </w:pPr>
      <w:r>
        <w:rPr>
          <w:color w:val="auto"/>
        </w:rPr>
        <w:lastRenderedPageBreak/>
        <w:t>Modelling approach and key assumptions</w:t>
      </w:r>
    </w:p>
    <w:p w:rsidR="00000000" w:rsidRDefault="00D35856">
      <w:pPr>
        <w:keepNext w:val="0"/>
        <w:rPr>
          <w:b/>
        </w:rPr>
      </w:pPr>
      <w:r>
        <w:t xml:space="preserve">The Australia-wide total water consumption due to toilets and urinals was calculated based on a set number of flushes per person per day, and the total population. These flushes were then assigned to either residential or commercial, and in the commercial </w:t>
      </w:r>
      <w:r>
        <w:t xml:space="preserve">sector they were assigned to either toilets or urinals. This approach is shown below in </w:t>
      </w:r>
      <w:fldSimple w:instr=" REF _Ref187831199 \h  \* MERGEFORMAT ">
        <w:r>
          <w:t xml:space="preserve">Figure </w:t>
        </w:r>
        <w:r>
          <w:rPr>
            <w:noProof/>
          </w:rPr>
          <w:t>3</w:t>
        </w:r>
        <w:r>
          <w:rPr>
            <w:noProof/>
          </w:rPr>
          <w:noBreakHyphen/>
        </w:r>
      </w:fldSimple>
      <w:r>
        <w:t>12.</w:t>
      </w:r>
    </w:p>
    <w:p w:rsidR="00000000" w:rsidRDefault="00D35856">
      <w:pPr>
        <w:pStyle w:val="Caption"/>
      </w:pPr>
      <w:bookmarkStart w:id="109" w:name="_Ref187831199"/>
      <w:bookmarkStart w:id="110" w:name="_Toc191475262"/>
      <w:bookmarkStart w:id="111" w:name="_Toc199933825"/>
      <w:r>
        <w:t xml:space="preserve">Figure </w:t>
      </w:r>
      <w:r>
        <w:fldChar w:fldCharType="begin"/>
      </w:r>
      <w:r>
        <w:instrText xml:space="preserve"> STY</w:instrText>
      </w:r>
      <w:r>
        <w:instrText xml:space="preserve">LEREF 1 \s </w:instrText>
      </w:r>
      <w:r>
        <w:fldChar w:fldCharType="separate"/>
      </w:r>
      <w:r>
        <w:rPr>
          <w:noProof/>
        </w:rPr>
        <w:t>3</w:t>
      </w:r>
      <w:r>
        <w:fldChar w:fldCharType="end"/>
      </w:r>
      <w:r>
        <w:noBreakHyphen/>
      </w:r>
      <w:bookmarkEnd w:id="109"/>
      <w:r>
        <w:t>12. Approach to estimation of toilet and urinal water use</w:t>
      </w:r>
      <w:bookmarkEnd w:id="110"/>
      <w:bookmarkEnd w:id="111"/>
    </w:p>
    <w:p w:rsidR="00000000" w:rsidRDefault="00D35856">
      <w:pPr>
        <w:widowControl w:val="0"/>
      </w:pPr>
      <w:r>
        <w:rPr>
          <w:noProof/>
          <w:lang w:eastAsia="en-AU"/>
        </w:rPr>
        <w:drawing>
          <wp:inline distT="0" distB="0" distL="0" distR="0">
            <wp:extent cx="4152900" cy="2827020"/>
            <wp:effectExtent l="19050" t="0" r="0" b="0"/>
            <wp:docPr id="19" name="Picture 19" descr="Fig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gure 3.12"/>
                    <pic:cNvPicPr>
                      <a:picLocks noChangeAspect="1" noChangeArrowheads="1"/>
                    </pic:cNvPicPr>
                  </pic:nvPicPr>
                  <pic:blipFill>
                    <a:blip r:embed="rId32"/>
                    <a:srcRect/>
                    <a:stretch>
                      <a:fillRect/>
                    </a:stretch>
                  </pic:blipFill>
                  <pic:spPr bwMode="auto">
                    <a:xfrm>
                      <a:off x="0" y="0"/>
                      <a:ext cx="4152900" cy="2827020"/>
                    </a:xfrm>
                    <a:prstGeom prst="rect">
                      <a:avLst/>
                    </a:prstGeom>
                    <a:noFill/>
                    <a:ln w="9525">
                      <a:noFill/>
                      <a:miter lim="800000"/>
                      <a:headEnd/>
                      <a:tailEnd/>
                    </a:ln>
                  </pic:spPr>
                </pic:pic>
              </a:graphicData>
            </a:graphic>
          </wp:inline>
        </w:drawing>
      </w:r>
    </w:p>
    <w:p w:rsidR="00000000" w:rsidRDefault="00D35856">
      <w:pPr>
        <w:keepNext w:val="0"/>
      </w:pPr>
      <w:r>
        <w:t xml:space="preserve">A toilet stock model was used to estimate the toilet stock over </w:t>
      </w:r>
      <w:r>
        <w:t xml:space="preserve">time in the residential and non-residential sectors of </w:t>
      </w:r>
      <w:smartTag w:uri="urn:schemas-microsoft-com:office:smarttags" w:element="City">
        <w:r>
          <w:t>Australia</w:t>
        </w:r>
      </w:smartTag>
      <w:r>
        <w:t xml:space="preserve">. A detailed explanation of these models is given in </w:t>
      </w:r>
      <w:r>
        <w:rPr>
          <w:i/>
        </w:rPr>
        <w:t xml:space="preserve">Analysis of Australian opportunities for more efficient toilets </w:t>
      </w:r>
      <w:r>
        <w:t xml:space="preserve">(Schlunke </w:t>
      </w:r>
      <w:r>
        <w:rPr>
          <w:i/>
        </w:rPr>
        <w:t>et al</w:t>
      </w:r>
      <w:r>
        <w:t>., 2007)</w:t>
      </w:r>
      <w:r>
        <w:rPr>
          <w:i/>
        </w:rPr>
        <w:t xml:space="preserve">. </w:t>
      </w:r>
      <w:r>
        <w:t xml:space="preserve"> The predicted toilet stock was used to ca</w:t>
      </w:r>
      <w:r>
        <w:t>lculate the average flush volume, which was used in conjunction with the number of flushes per day per sector to calculate Australia-wide toilet water use.</w:t>
      </w:r>
    </w:p>
    <w:p w:rsidR="00000000" w:rsidRDefault="00D35856">
      <w:pPr>
        <w:keepNext w:val="0"/>
        <w:spacing w:after="120"/>
      </w:pPr>
      <w:r>
        <w:t>The only new toilet suites that are allowed under the Australian Standard for toilet cisterns (AS 11</w:t>
      </w:r>
      <w:r>
        <w:t xml:space="preserve">72.2—1999) are the 6/3L and 4.5/3L models, so the only impact that </w:t>
      </w:r>
      <w:smartTag w:uri="urn:schemas-microsoft-com:office:smarttags" w:element="City">
        <w:r>
          <w:t>WELS</w:t>
        </w:r>
      </w:smartTag>
      <w:r>
        <w:t xml:space="preserve"> can have on the sales of new toilets is the way sales are shared between 3 star and 4 star toilets. </w:t>
      </w:r>
    </w:p>
    <w:p w:rsidR="00000000" w:rsidRDefault="00D35856">
      <w:pPr>
        <w:keepNext w:val="0"/>
      </w:pPr>
      <w:r>
        <w:t>In the original toilet stock model (modelling what would happen under WELS)</w:t>
      </w:r>
      <w:r>
        <w:t>, after the 4.5/3L toilet model was introduced (in 2006), the market share of this model was set to increase gradually until it reached 50% in 2008, and then remain at 50% until 2021. The remaining market share was given to 6/3L toilets. To simulate what w</w:t>
      </w:r>
      <w:r>
        <w:t xml:space="preserve">ould have happened without </w:t>
      </w:r>
      <w:smartTag w:uri="urn:schemas-microsoft-com:office:smarttags" w:element="City">
        <w:r>
          <w:t>WELS</w:t>
        </w:r>
      </w:smartTag>
      <w:r>
        <w:t xml:space="preserve">, it was assumed that the sales of 4.5/3L toilet models would have been negligible (and so all toilets sold were 6/3L models). </w:t>
      </w:r>
      <w:fldSimple w:instr=" REF _Ref187829894 \h  \* MERGEFORMAT ">
        <w:r>
          <w:t xml:space="preserve">Figure </w:t>
        </w:r>
        <w:r>
          <w:rPr>
            <w:noProof/>
          </w:rPr>
          <w:t>3</w:t>
        </w:r>
        <w:r>
          <w:rPr>
            <w:noProof/>
          </w:rPr>
          <w:noBreakHyphen/>
        </w:r>
      </w:fldSimple>
      <w:r>
        <w:t xml:space="preserve"> and </w:t>
      </w:r>
      <w:fldSimple w:instr=" REF _Ref187829901 \h  \* MERGEFORMAT ">
        <w:r>
          <w:t xml:space="preserve">Figure </w:t>
        </w:r>
        <w:r>
          <w:rPr>
            <w:noProof/>
          </w:rPr>
          <w:t>3</w:t>
        </w:r>
        <w:r>
          <w:rPr>
            <w:noProof/>
          </w:rPr>
          <w:noBreakHyphen/>
        </w:r>
      </w:fldSimple>
      <w:r>
        <w:t xml:space="preserve"> show the predicted residential toilet stock for each scenario (with and without </w:t>
      </w:r>
      <w:smartTag w:uri="urn:schemas-microsoft-com:office:smarttags" w:element="City">
        <w:r>
          <w:t>WELS</w:t>
        </w:r>
      </w:smartTag>
      <w:r>
        <w:t xml:space="preserve">). With WELS, over </w:t>
      </w:r>
      <w:r>
        <w:t xml:space="preserve">20% of the toilet stock was predicted to be 4.5/3L models by 2021 (and more than 50% 6/3L models), and without WELS it was predicted that there would be no 4.5/3L models (and over 70% 6/3L models) in the toilet stock by then. The predicted effect of </w:t>
      </w:r>
      <w:smartTag w:uri="urn:schemas-microsoft-com:office:smarttags" w:element="City">
        <w:r>
          <w:t>WELS</w:t>
        </w:r>
      </w:smartTag>
      <w:r>
        <w:t xml:space="preserve"> on non-residential toilet stock was similar. </w:t>
      </w:r>
    </w:p>
    <w:p w:rsidR="00000000" w:rsidRDefault="00D35856">
      <w:pPr>
        <w:pStyle w:val="Caption"/>
      </w:pPr>
      <w:bookmarkStart w:id="112" w:name="_Ref187829894"/>
      <w:bookmarkStart w:id="113" w:name="_Toc191475263"/>
      <w:bookmarkStart w:id="114" w:name="_Toc199933826"/>
      <w:r>
        <w:lastRenderedPageBreak/>
        <w:t xml:space="preserve">Figure </w:t>
      </w:r>
      <w:r>
        <w:fldChar w:fldCharType="begin"/>
      </w:r>
      <w:r>
        <w:instrText xml:space="preserve"> STYLEREF 1 \s </w:instrText>
      </w:r>
      <w:r>
        <w:fldChar w:fldCharType="separate"/>
      </w:r>
      <w:r>
        <w:rPr>
          <w:noProof/>
        </w:rPr>
        <w:t>3</w:t>
      </w:r>
      <w:r>
        <w:fldChar w:fldCharType="end"/>
      </w:r>
      <w:r>
        <w:noBreakHyphen/>
      </w:r>
      <w:bookmarkEnd w:id="112"/>
      <w:r>
        <w:t xml:space="preserve">13. Residential toilet stock prediction with </w:t>
      </w:r>
      <w:smartTag w:uri="urn:schemas-microsoft-com:office:smarttags" w:element="City">
        <w:r>
          <w:t>WELS</w:t>
        </w:r>
      </w:smartTag>
      <w:r>
        <w:t>.</w:t>
      </w:r>
      <w:bookmarkEnd w:id="113"/>
      <w:bookmarkEnd w:id="114"/>
    </w:p>
    <w:p w:rsidR="00000000" w:rsidRDefault="00D35856">
      <w:pPr>
        <w:jc w:val="center"/>
      </w:pPr>
      <w:r>
        <w:rPr>
          <w:noProof/>
          <w:lang w:eastAsia="en-AU"/>
        </w:rPr>
        <w:drawing>
          <wp:inline distT="0" distB="0" distL="0" distR="0">
            <wp:extent cx="5204460" cy="3208020"/>
            <wp:effectExtent l="0" t="0" r="0" b="0"/>
            <wp:docPr id="20" name="Picture 20" descr="Fig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gure 3-13"/>
                    <pic:cNvPicPr>
                      <a:picLocks noChangeAspect="1" noChangeArrowheads="1"/>
                    </pic:cNvPicPr>
                  </pic:nvPicPr>
                  <pic:blipFill>
                    <a:blip r:embed="rId33"/>
                    <a:srcRect/>
                    <a:stretch>
                      <a:fillRect/>
                    </a:stretch>
                  </pic:blipFill>
                  <pic:spPr bwMode="auto">
                    <a:xfrm>
                      <a:off x="0" y="0"/>
                      <a:ext cx="5204460" cy="3208020"/>
                    </a:xfrm>
                    <a:prstGeom prst="rect">
                      <a:avLst/>
                    </a:prstGeom>
                    <a:noFill/>
                    <a:ln w="9525">
                      <a:noFill/>
                      <a:miter lim="800000"/>
                      <a:headEnd/>
                      <a:tailEnd/>
                    </a:ln>
                  </pic:spPr>
                </pic:pic>
              </a:graphicData>
            </a:graphic>
          </wp:inline>
        </w:drawing>
      </w:r>
    </w:p>
    <w:p w:rsidR="00000000" w:rsidRDefault="00D35856"/>
    <w:p w:rsidR="00000000" w:rsidRDefault="00D35856">
      <w:pPr>
        <w:pStyle w:val="Caption"/>
        <w:keepNext w:val="0"/>
      </w:pPr>
      <w:bookmarkStart w:id="115" w:name="_Ref187829901"/>
      <w:bookmarkStart w:id="116" w:name="_Toc191475264"/>
      <w:bookmarkStart w:id="117" w:name="_Toc199933827"/>
      <w:r>
        <w:t xml:space="preserve">Figure </w:t>
      </w:r>
      <w:r>
        <w:fldChar w:fldCharType="begin"/>
      </w:r>
      <w:r>
        <w:instrText xml:space="preserve"> STYLEREF 1 \s </w:instrText>
      </w:r>
      <w:r>
        <w:fldChar w:fldCharType="separate"/>
      </w:r>
      <w:r>
        <w:rPr>
          <w:noProof/>
        </w:rPr>
        <w:t>3</w:t>
      </w:r>
      <w:r>
        <w:fldChar w:fldCharType="end"/>
      </w:r>
      <w:r>
        <w:noBreakHyphen/>
      </w:r>
      <w:bookmarkEnd w:id="115"/>
      <w:r>
        <w:t xml:space="preserve">14. Residential toilet stock prediction without </w:t>
      </w:r>
      <w:smartTag w:uri="urn:schemas-microsoft-com:office:smarttags" w:element="City">
        <w:r>
          <w:t>WELS</w:t>
        </w:r>
      </w:smartTag>
      <w:r>
        <w:t>.</w:t>
      </w:r>
      <w:bookmarkEnd w:id="116"/>
      <w:bookmarkEnd w:id="117"/>
    </w:p>
    <w:p w:rsidR="00000000" w:rsidRDefault="00D35856">
      <w:pPr>
        <w:keepNext w:val="0"/>
        <w:jc w:val="center"/>
      </w:pPr>
      <w:r>
        <w:rPr>
          <w:noProof/>
          <w:lang w:eastAsia="en-AU"/>
        </w:rPr>
        <w:drawing>
          <wp:inline distT="0" distB="0" distL="0" distR="0">
            <wp:extent cx="5204460" cy="3208020"/>
            <wp:effectExtent l="0" t="0" r="0" b="0"/>
            <wp:docPr id="21" name="Picture 21" descr="Fig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gure 3-14"/>
                    <pic:cNvPicPr>
                      <a:picLocks noChangeAspect="1" noChangeArrowheads="1"/>
                    </pic:cNvPicPr>
                  </pic:nvPicPr>
                  <pic:blipFill>
                    <a:blip r:embed="rId34"/>
                    <a:srcRect/>
                    <a:stretch>
                      <a:fillRect/>
                    </a:stretch>
                  </pic:blipFill>
                  <pic:spPr bwMode="auto">
                    <a:xfrm>
                      <a:off x="0" y="0"/>
                      <a:ext cx="5204460" cy="3208020"/>
                    </a:xfrm>
                    <a:prstGeom prst="rect">
                      <a:avLst/>
                    </a:prstGeom>
                    <a:noFill/>
                    <a:ln w="9525">
                      <a:noFill/>
                      <a:miter lim="800000"/>
                      <a:headEnd/>
                      <a:tailEnd/>
                    </a:ln>
                  </pic:spPr>
                </pic:pic>
              </a:graphicData>
            </a:graphic>
          </wp:inline>
        </w:drawing>
      </w:r>
    </w:p>
    <w:p w:rsidR="00000000" w:rsidRDefault="00D35856">
      <w:pPr>
        <w:keepNext w:val="0"/>
      </w:pPr>
      <w:r>
        <w:t xml:space="preserve">The toilet water use was calculated using the toilet stock predicted for both cases (with and without </w:t>
      </w:r>
      <w:smartTag w:uri="urn:schemas-microsoft-com:office:smarttags" w:element="City">
        <w:r>
          <w:t>WELS</w:t>
        </w:r>
      </w:smartTag>
      <w:r>
        <w:t xml:space="preserve">) and the difference between these two values was the savings due to </w:t>
      </w:r>
      <w:smartTag w:uri="urn:schemas-microsoft-com:office:smarttags" w:element="City">
        <w:r>
          <w:t>WELS</w:t>
        </w:r>
      </w:smartTag>
      <w:r>
        <w:t>.</w:t>
      </w:r>
    </w:p>
    <w:p w:rsidR="00000000" w:rsidRDefault="00D35856">
      <w:pPr>
        <w:keepNext w:val="0"/>
      </w:pPr>
      <w:r>
        <w:t>As there was no stock model for</w:t>
      </w:r>
      <w:r>
        <w:t xml:space="preserve"> urinals, the starting point for the calculation of urinal water savings due to </w:t>
      </w:r>
      <w:smartTag w:uri="urn:schemas-microsoft-com:office:smarttags" w:element="City">
        <w:r>
          <w:t>WELS</w:t>
        </w:r>
      </w:smartTag>
      <w:r>
        <w:t xml:space="preserve"> was sales data and the average flush volume of urinals in February 2005 (taken from the Plumbing Regulation News Update released on 15/02/2005 by the Tasmanian Dep</w:t>
      </w:r>
      <w:r>
        <w:t xml:space="preserve">artment of Infrastructure, Energy and Resources). </w:t>
      </w:r>
      <w:r>
        <w:lastRenderedPageBreak/>
        <w:t>This indicated that 60</w:t>
      </w:r>
      <w:r>
        <w:t> </w:t>
      </w:r>
      <w:r>
        <w:t xml:space="preserve">000 urinals were sold in 2005 and the average flush volume of these was 2.2L. </w:t>
      </w:r>
    </w:p>
    <w:p w:rsidR="00000000" w:rsidRDefault="00D35856">
      <w:pPr>
        <w:pStyle w:val="BodyText"/>
        <w:keepNext w:val="0"/>
      </w:pPr>
      <w:r>
        <w:t>To simulate the change in urinal sales over time, the sales were increased at the same percentage per ye</w:t>
      </w:r>
      <w:r>
        <w:t xml:space="preserve">ar as the population was predicted to rise (according to ABS 3222.0, </w:t>
      </w:r>
      <w:r>
        <w:rPr>
          <w:i/>
        </w:rPr>
        <w:t>Population Projections, Australia, 2004 to 2101</w:t>
      </w:r>
      <w:r>
        <w:t>), reaching 76</w:t>
      </w:r>
      <w:r>
        <w:t> </w:t>
      </w:r>
      <w:r>
        <w:t xml:space="preserve">000 in 2021. </w:t>
      </w:r>
    </w:p>
    <w:p w:rsidR="00000000" w:rsidRDefault="00D35856">
      <w:pPr>
        <w:keepNext w:val="0"/>
      </w:pPr>
      <w:r>
        <w:t xml:space="preserve">The average flush volume was assumed to decrease from 2.2L over time. The impact of </w:t>
      </w:r>
      <w:smartTag w:uri="urn:schemas-microsoft-com:office:smarttags" w:element="City">
        <w:r>
          <w:t>WELS</w:t>
        </w:r>
      </w:smartTag>
      <w:r>
        <w:t xml:space="preserve"> on the average</w:t>
      </w:r>
      <w:r>
        <w:t xml:space="preserve"> flush volume of urinals was assumed to be a 0.5L difference by 2021. This is shown in </w:t>
      </w:r>
      <w:fldSimple w:instr=" REF _Ref187835577 \h  \* MERGEFORMAT ">
        <w:r>
          <w:t xml:space="preserve">Figure </w:t>
        </w:r>
        <w:r>
          <w:rPr>
            <w:noProof/>
          </w:rPr>
          <w:t>3</w:t>
        </w:r>
        <w:r>
          <w:rPr>
            <w:noProof/>
          </w:rPr>
          <w:noBreakHyphen/>
        </w:r>
      </w:fldSimple>
      <w:r>
        <w:t xml:space="preserve">15. </w:t>
      </w:r>
    </w:p>
    <w:p w:rsidR="00000000" w:rsidRDefault="00D35856">
      <w:pPr>
        <w:pStyle w:val="Caption"/>
        <w:keepNext w:val="0"/>
      </w:pPr>
      <w:bookmarkStart w:id="118" w:name="_Ref187835577"/>
      <w:bookmarkStart w:id="119" w:name="_Toc191475265"/>
      <w:bookmarkStart w:id="120" w:name="_Toc199933828"/>
      <w:r>
        <w:t xml:space="preserve">Figure </w:t>
      </w:r>
      <w:r>
        <w:fldChar w:fldCharType="begin"/>
      </w:r>
      <w:r>
        <w:instrText xml:space="preserve"> ST</w:instrText>
      </w:r>
      <w:r>
        <w:instrText xml:space="preserve">YLEREF 1 \s </w:instrText>
      </w:r>
      <w:r>
        <w:fldChar w:fldCharType="separate"/>
      </w:r>
      <w:r>
        <w:rPr>
          <w:noProof/>
        </w:rPr>
        <w:t>3</w:t>
      </w:r>
      <w:r>
        <w:fldChar w:fldCharType="end"/>
      </w:r>
      <w:r>
        <w:noBreakHyphen/>
      </w:r>
      <w:bookmarkEnd w:id="118"/>
      <w:r>
        <w:t>15. Estimated average urinal flush volume over time.</w:t>
      </w:r>
      <w:bookmarkEnd w:id="119"/>
      <w:bookmarkEnd w:id="120"/>
    </w:p>
    <w:p w:rsidR="00000000" w:rsidRDefault="00D35856">
      <w:pPr>
        <w:keepNext w:val="0"/>
        <w:jc w:val="center"/>
      </w:pPr>
      <w:r>
        <w:rPr>
          <w:noProof/>
          <w:lang w:eastAsia="en-AU"/>
        </w:rPr>
        <w:drawing>
          <wp:inline distT="0" distB="0" distL="0" distR="0">
            <wp:extent cx="5120640" cy="2026920"/>
            <wp:effectExtent l="19050" t="0" r="3810" b="0"/>
            <wp:docPr id="22" name="Picture 22" descr="Fig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gure 3-15"/>
                    <pic:cNvPicPr>
                      <a:picLocks noChangeAspect="1" noChangeArrowheads="1"/>
                    </pic:cNvPicPr>
                  </pic:nvPicPr>
                  <pic:blipFill>
                    <a:blip r:embed="rId35"/>
                    <a:srcRect l="1056" t="2580" r="1056" b="2580"/>
                    <a:stretch>
                      <a:fillRect/>
                    </a:stretch>
                  </pic:blipFill>
                  <pic:spPr bwMode="auto">
                    <a:xfrm>
                      <a:off x="0" y="0"/>
                      <a:ext cx="5120640" cy="2026920"/>
                    </a:xfrm>
                    <a:prstGeom prst="rect">
                      <a:avLst/>
                    </a:prstGeom>
                    <a:noFill/>
                    <a:ln w="9525">
                      <a:noFill/>
                      <a:miter lim="800000"/>
                      <a:headEnd/>
                      <a:tailEnd/>
                    </a:ln>
                  </pic:spPr>
                </pic:pic>
              </a:graphicData>
            </a:graphic>
          </wp:inline>
        </w:drawing>
      </w:r>
    </w:p>
    <w:p w:rsidR="00000000" w:rsidRDefault="00D35856">
      <w:pPr>
        <w:keepNext w:val="0"/>
      </w:pPr>
      <w:r>
        <w:t>Along with the number of urinals sold each year and the average flush volume of these urinals, the number of flushes per urinal (per day or year) was also necessary to be able to calculate the difference in water use bet</w:t>
      </w:r>
      <w:r>
        <w:t xml:space="preserve">ween the WELS and no WELS scenarios. According to the </w:t>
      </w:r>
      <w:r>
        <w:rPr>
          <w:i/>
        </w:rPr>
        <w:t xml:space="preserve">2005 Building Code of </w:t>
      </w:r>
      <w:smartTag w:uri="urn:schemas-microsoft-com:office:smarttags" w:element="City">
        <w:r>
          <w:rPr>
            <w:i/>
          </w:rPr>
          <w:t>Australia</w:t>
        </w:r>
      </w:smartTag>
      <w:r>
        <w:t xml:space="preserve"> (</w:t>
      </w:r>
      <w:r>
        <w:rPr>
          <w:bCs/>
        </w:rPr>
        <w:t xml:space="preserve">Table F2.3, Facilities in Class 3 to 9 buildings), </w:t>
      </w:r>
      <w:r>
        <w:t>commercial buildings need to have 1 urinal per 25 people. Combining this information with an average of 1.2 ur</w:t>
      </w:r>
      <w:r>
        <w:t xml:space="preserve">inal flushes per person per day allowed calculation of the daily water use of the urinals sold each year. </w:t>
      </w:r>
    </w:p>
    <w:p w:rsidR="00000000" w:rsidRDefault="00D35856">
      <w:pPr>
        <w:pStyle w:val="Heading4"/>
        <w:keepNext w:val="0"/>
        <w:rPr>
          <w:color w:val="auto"/>
        </w:rPr>
      </w:pPr>
      <w:r>
        <w:rPr>
          <w:color w:val="auto"/>
        </w:rPr>
        <w:t>Analysis of confounding factors</w:t>
      </w:r>
    </w:p>
    <w:p w:rsidR="00000000" w:rsidRDefault="00D35856">
      <w:pPr>
        <w:keepNext w:val="0"/>
        <w:spacing w:after="120"/>
      </w:pPr>
      <w:r>
        <w:t xml:space="preserve">As for other types of fittings and appliances, the savings calculated in the updated scenario "with </w:t>
      </w:r>
      <w:smartTag w:uri="urn:schemas-microsoft-com:office:smarttags" w:element="City">
        <w:r>
          <w:t>WELS</w:t>
        </w:r>
      </w:smartTag>
      <w:r>
        <w:t>" are</w:t>
      </w:r>
      <w:r>
        <w:t xml:space="preserve"> also influenced by other factors. </w:t>
      </w:r>
    </w:p>
    <w:p w:rsidR="00000000" w:rsidRDefault="00D35856">
      <w:pPr>
        <w:keepNext w:val="0"/>
        <w:spacing w:after="120"/>
      </w:pPr>
      <w:r>
        <w:t>Information is readily available on the water saving benefits of replacing a single flush toilet with a dual flush toilet, and rebates are also available for this. However, these campaigns and rebates do not always disti</w:t>
      </w:r>
      <w:r>
        <w:t>nguish between the 3 star and 4 star models, and so while they may impact on the number of new toilet sales, they may not impact on the ratio of 3 star to 4 star toilets sold. For example, the Sydney Water website (www.sydneywater.com.au/SavingWater/WaterW</w:t>
      </w:r>
      <w:r>
        <w:t xml:space="preserve">iseProducts.cfm) suggests </w:t>
      </w:r>
    </w:p>
    <w:p w:rsidR="00000000" w:rsidRDefault="00D35856">
      <w:pPr>
        <w:keepNext w:val="0"/>
        <w:spacing w:after="120"/>
        <w:ind w:left="720"/>
        <w:rPr>
          <w:rFonts w:ascii="Arial" w:hAnsi="Arial" w:cs="Arial"/>
          <w:sz w:val="19"/>
          <w:szCs w:val="19"/>
        </w:rPr>
      </w:pPr>
      <w:r>
        <w:rPr>
          <w:rFonts w:ascii="Arial" w:hAnsi="Arial" w:cs="Arial"/>
          <w:sz w:val="19"/>
          <w:szCs w:val="19"/>
        </w:rPr>
        <w:t>“Using a water efficient dual flush toilet means you can choose to flush only half the water in the cistern. Find out which toilets are water efficient at the Water Efficiency Labelling and Standards (WELS) website. Look for toil</w:t>
      </w:r>
      <w:r>
        <w:rPr>
          <w:rFonts w:ascii="Arial" w:hAnsi="Arial" w:cs="Arial"/>
          <w:sz w:val="19"/>
          <w:szCs w:val="19"/>
        </w:rPr>
        <w:t>ets with 6/3 litre dual flush with at least 3-star rating.”</w:t>
      </w:r>
    </w:p>
    <w:p w:rsidR="00000000" w:rsidRDefault="00D35856">
      <w:pPr>
        <w:keepNext w:val="0"/>
      </w:pPr>
      <w:r>
        <w:t>Building regulations will not affect the number of new toilets sold but they will affect the proportion of toilets sold that are rated 4 star. For example, BASIX in NSW uses the toilet model to ca</w:t>
      </w:r>
      <w:r>
        <w:t xml:space="preserve">lculate the water score and so dwellings with 4 star toilets will achieve a higher water score than equivalent dwellings with 3 star toilets. In </w:t>
      </w:r>
      <w:smartTag w:uri="urn:schemas-microsoft-com:office:smarttags" w:element="City">
        <w:r>
          <w:t xml:space="preserve">Western </w:t>
        </w:r>
        <w:r>
          <w:lastRenderedPageBreak/>
          <w:t>Australia</w:t>
        </w:r>
      </w:smartTag>
      <w:r>
        <w:t xml:space="preserve"> the effect of regulations is even stronger, because the Five Star plus program makes </w:t>
      </w:r>
      <w:r>
        <w:t xml:space="preserve">4 star toilets mandatory for new dwellings. </w:t>
      </w:r>
    </w:p>
    <w:p w:rsidR="00000000" w:rsidRDefault="00D35856">
      <w:pPr>
        <w:pStyle w:val="Heading3"/>
        <w:keepNext w:val="0"/>
        <w:numPr>
          <w:ilvl w:val="2"/>
          <w:numId w:val="3"/>
        </w:numPr>
        <w:tabs>
          <w:tab w:val="clear" w:pos="1440"/>
        </w:tabs>
        <w:ind w:left="851" w:hanging="851"/>
        <w:rPr>
          <w:color w:val="auto"/>
        </w:rPr>
      </w:pPr>
      <w:bookmarkStart w:id="121" w:name="_Toc190583790"/>
      <w:bookmarkStart w:id="122" w:name="_Toc191452232"/>
      <w:bookmarkStart w:id="123" w:name="_Toc199933742"/>
      <w:r>
        <w:rPr>
          <w:color w:val="auto"/>
        </w:rPr>
        <w:t>Taps</w:t>
      </w:r>
      <w:bookmarkEnd w:id="121"/>
      <w:bookmarkEnd w:id="122"/>
      <w:bookmarkEnd w:id="123"/>
      <w:r>
        <w:rPr>
          <w:color w:val="auto"/>
        </w:rPr>
        <w:t xml:space="preserve"> </w:t>
      </w:r>
    </w:p>
    <w:p w:rsidR="00000000" w:rsidRDefault="00D35856">
      <w:pPr>
        <w:keepNext w:val="0"/>
      </w:pPr>
      <w:r>
        <w:t>There is a significant amount of variability surrounding the estimates of tap water use, resulting from the diversity of uses of taps (bathroom, kitchen, laundry, commercial) and a range of behaviours that are exhibited with regards to duration and flow ra</w:t>
      </w:r>
      <w:r>
        <w:t xml:space="preserve">te of tap use. </w:t>
      </w:r>
    </w:p>
    <w:p w:rsidR="00000000" w:rsidRDefault="00D35856">
      <w:pPr>
        <w:keepNext w:val="0"/>
      </w:pPr>
      <w:r>
        <w:t>Taps can provide either a flow of water (or ‘free flow’ use) or provide a volume of water (or ‘volumetric use’). As efficient taps only reduce the free flow usages, reduction of the water used by taps is achieved predominantly by reducing t</w:t>
      </w:r>
      <w:r>
        <w:t xml:space="preserve">he ‘free flow’ component of use. Volumetric usages, such as filling the sink for washing dishes, will not be reduced through more efficient taps. Free flow uses are estimated to constitute approximately 50% of total tap consumption (Roberts, 2004). </w:t>
      </w:r>
    </w:p>
    <w:p w:rsidR="00000000" w:rsidRDefault="00D35856">
      <w:pPr>
        <w:keepNext w:val="0"/>
      </w:pPr>
      <w:r>
        <w:t>Furthe</w:t>
      </w:r>
      <w:r>
        <w:t xml:space="preserve">r complexity in the measurement of tap usage and potential water savings results from the discrepancy between capacity and actual flow rates of taps. From Roberts (2004) and George Wilkenfeld and Associates (2005), it appears that a significant proportion </w:t>
      </w:r>
      <w:r>
        <w:t>of inefficient tap actual flow rates are already below the capacity flow rates of efficient taps. For example, an inefficient tap with a capacity flow rate of 15 L/min may be only ever used at 6 L/min, and therefore there is little or no advantage from a c</w:t>
      </w:r>
      <w:r>
        <w:t xml:space="preserve">onversion to an efficient tap which has a capacity flow rate of 7 L/min. </w:t>
      </w:r>
    </w:p>
    <w:p w:rsidR="00000000" w:rsidRDefault="00D35856">
      <w:pPr>
        <w:keepNext w:val="0"/>
      </w:pPr>
      <w:r>
        <w:t>The drought, restrictions and the communication of water efficiency messages to the community is expected to also reduce free flow tap usage, which may also inhibit the potential for</w:t>
      </w:r>
      <w:r>
        <w:t xml:space="preserve"> water efficient taps to reduce water usage. </w:t>
      </w:r>
    </w:p>
    <w:p w:rsidR="00000000" w:rsidRDefault="00D35856">
      <w:pPr>
        <w:keepNext w:val="0"/>
      </w:pPr>
      <w:r>
        <w:t>This situation is contrasted in the commercial setting where, as reported by the industry stakeholders contacted for this study, water is largely flow dependent. Commercial tap use generally may have higher ave</w:t>
      </w:r>
      <w:r>
        <w:t>rage flow rates than residential taps because the  users are not affected by the price of water. It is therefore expected that tap savings in the commercial setting may be significant, and this is reflected by the focus on installing flow restrictors in th</w:t>
      </w:r>
      <w:r>
        <w:t xml:space="preserve">e non-residential business programs in Sydney and Melbourne (Roberts, P. pers. comm., 2008). </w:t>
      </w:r>
    </w:p>
    <w:p w:rsidR="00000000" w:rsidRDefault="00D35856">
      <w:pPr>
        <w:keepNext w:val="0"/>
      </w:pPr>
      <w:r>
        <w:t>Even though the potential water savings from efficient taps may be small in each household, and even negligible in many cases where the flow rates are low, the po</w:t>
      </w:r>
      <w:r>
        <w:t xml:space="preserve">tential for water savings across </w:t>
      </w:r>
      <w:smartTag w:uri="urn:schemas-microsoft-com:office:smarttags" w:element="City">
        <w:r>
          <w:t>Australia</w:t>
        </w:r>
      </w:smartTag>
      <w:r>
        <w:t xml:space="preserve"> is still significant because of the large number of taps sold. Across </w:t>
      </w:r>
      <w:smartTag w:uri="urn:schemas-microsoft-com:office:smarttags" w:element="City">
        <w:r>
          <w:t>Australia</w:t>
        </w:r>
      </w:smartTag>
      <w:r>
        <w:t xml:space="preserve">, approximately 1 million taps may be sold every year, leading to a potential for savings from nearly 20 million taps </w:t>
      </w:r>
      <w:r>
        <w:t xml:space="preserve">by 2020-2021. </w:t>
      </w:r>
    </w:p>
    <w:p w:rsidR="00000000" w:rsidRDefault="00D35856">
      <w:pPr>
        <w:keepNext w:val="0"/>
      </w:pPr>
      <w:r>
        <w:t>A key assumption in estimating water savings from taps was flow rate. As a result of the only marginal discrepancy between the actual flow rate for taps at different star ratings, all taps were assumed to fall into either of two groups: 0 St</w:t>
      </w:r>
      <w:r>
        <w:t>ar or 3 Star and above. Following George Wilkenfeld and Associates (2005), the actual flow rate was assumed to be 3.5 L/min for Zero Star taps and 3.0 L/min for 3 Star Taps, which corroborated Roberts’ (2004) finding that the average flow rate was 3.3 L/mi</w:t>
      </w:r>
      <w:r>
        <w:t>n.</w:t>
      </w:r>
    </w:p>
    <w:p w:rsidR="00000000" w:rsidRDefault="00D35856">
      <w:pPr>
        <w:keepNext w:val="0"/>
      </w:pPr>
      <w:r>
        <w:lastRenderedPageBreak/>
        <w:t xml:space="preserve">In order to capture the level of uncertainty surrounding the input assumptions to the tap modelling, a range of scenarios were modelled. </w:t>
      </w:r>
    </w:p>
    <w:p w:rsidR="00000000" w:rsidRDefault="00D35856">
      <w:pPr>
        <w:keepNext w:val="0"/>
      </w:pPr>
      <w:r>
        <w:t xml:space="preserve">The achievable water savings were particularly sensitive to the duration of use, and the number of uses of the tap </w:t>
      </w:r>
      <w:r>
        <w:t>per day. The duration of use was determined by Roberts (2004) as less than 10 seconds for the majority of events. The number of uses per day for residential taps is calculated at approximately 5 uses per tap per day. Based on these assumptions, the water s</w:t>
      </w:r>
      <w:r>
        <w:t xml:space="preserve">avings from taps are approximately 1.4 GL/a in 2021. </w:t>
      </w:r>
    </w:p>
    <w:p w:rsidR="00000000" w:rsidRDefault="00D35856">
      <w:pPr>
        <w:keepNext w:val="0"/>
      </w:pPr>
      <w:r>
        <w:t>The frequency of use assumption is expected to be the main point of difference between residential and non-residential use. In an office environment, there are likely to be more people per tap. Non-resi</w:t>
      </w:r>
      <w:r>
        <w:t xml:space="preserve">dential tap usage is expected to be approximately 1/8th of total tap consumption (George Wilkenfeld and Associates, 2004) and this would limit the degree to which the increased frequency of use would impact upon the overall consumption of water from taps. </w:t>
      </w:r>
      <w:r>
        <w:t>There is also a potential for these non-residential tap savings to be less variable than the residential savings as the uses may be more standardised.</w:t>
      </w:r>
    </w:p>
    <w:p w:rsidR="00000000" w:rsidRDefault="00D35856">
      <w:pPr>
        <w:keepNext w:val="0"/>
      </w:pPr>
      <w:r>
        <w:t>An assumption of 10 uses per day for an average tap conservatively incorporates the possible variation fr</w:t>
      </w:r>
      <w:r>
        <w:t xml:space="preserve">om commercial tap usage into a weighted average figure for the residential and non-residential sectors. Based on this assumption, the water savings from taps is approximately 2.8 GL/a in 2021. </w:t>
      </w:r>
    </w:p>
    <w:p w:rsidR="00000000" w:rsidRDefault="00D35856">
      <w:pPr>
        <w:pStyle w:val="Caption"/>
      </w:pPr>
      <w:bookmarkStart w:id="124" w:name="_Toc199933792"/>
      <w:r>
        <w:t xml:space="preserve">Table </w:t>
      </w:r>
      <w:r>
        <w:fldChar w:fldCharType="begin"/>
      </w:r>
      <w:r>
        <w:instrText xml:space="preserve"> STYLEREF 1 \s </w:instrText>
      </w:r>
      <w:r>
        <w:fldChar w:fldCharType="separate"/>
      </w:r>
      <w:r>
        <w:rPr>
          <w:noProof/>
        </w:rPr>
        <w:t>3</w:t>
      </w:r>
      <w:r>
        <w:fldChar w:fldCharType="end"/>
      </w:r>
      <w:r>
        <w:noBreakHyphen/>
        <w:t>10 Water savings from t</w:t>
      </w:r>
      <w:r>
        <w:t>aps (ML/a)</w:t>
      </w:r>
      <w:bookmarkEnd w:id="124"/>
    </w:p>
    <w:tbl>
      <w:tblPr>
        <w:tblW w:w="7500" w:type="dxa"/>
        <w:tblInd w:w="103" w:type="dxa"/>
        <w:tblLook w:val="0000"/>
      </w:tblPr>
      <w:tblGrid>
        <w:gridCol w:w="3340"/>
        <w:gridCol w:w="1040"/>
        <w:gridCol w:w="1040"/>
        <w:gridCol w:w="1040"/>
        <w:gridCol w:w="1040"/>
      </w:tblGrid>
      <w:tr w:rsidR="00000000">
        <w:trPr>
          <w:trHeight w:val="240"/>
        </w:trPr>
        <w:tc>
          <w:tcPr>
            <w:tcW w:w="3340" w:type="dxa"/>
            <w:tcBorders>
              <w:top w:val="single" w:sz="4" w:space="0" w:color="auto"/>
              <w:left w:val="single" w:sz="4" w:space="0" w:color="auto"/>
              <w:bottom w:val="single" w:sz="4" w:space="0" w:color="auto"/>
              <w:right w:val="single" w:sz="4" w:space="0" w:color="auto"/>
            </w:tcBorders>
            <w:shd w:val="clear" w:color="auto" w:fill="808080"/>
            <w:vAlign w:val="center"/>
          </w:tcPr>
          <w:p w:rsidR="00000000" w:rsidRDefault="00D35856">
            <w:pPr>
              <w:spacing w:after="0"/>
              <w:jc w:val="center"/>
              <w:rPr>
                <w:rFonts w:ascii="Arial" w:hAnsi="Arial"/>
                <w:b/>
                <w:sz w:val="20"/>
                <w:lang w:val="en-US"/>
              </w:rPr>
            </w:pPr>
            <w:r>
              <w:rPr>
                <w:rFonts w:ascii="Arial" w:hAnsi="Arial"/>
                <w:b/>
                <w:sz w:val="20"/>
                <w:lang w:val="en-US"/>
              </w:rPr>
              <w:t>Assumptions</w:t>
            </w:r>
          </w:p>
        </w:tc>
        <w:tc>
          <w:tcPr>
            <w:tcW w:w="1040" w:type="dxa"/>
            <w:tcBorders>
              <w:top w:val="single" w:sz="4" w:space="0" w:color="auto"/>
              <w:left w:val="single" w:sz="4" w:space="0" w:color="auto"/>
              <w:bottom w:val="single" w:sz="4" w:space="0" w:color="auto"/>
              <w:right w:val="single" w:sz="4" w:space="0" w:color="auto"/>
            </w:tcBorders>
            <w:shd w:val="clear" w:color="auto" w:fill="808080"/>
            <w:vAlign w:val="center"/>
          </w:tcPr>
          <w:p w:rsidR="00000000" w:rsidRDefault="00D35856">
            <w:pPr>
              <w:spacing w:after="0"/>
              <w:jc w:val="center"/>
              <w:rPr>
                <w:rFonts w:ascii="Arial" w:hAnsi="Arial"/>
                <w:b/>
                <w:sz w:val="20"/>
                <w:lang w:val="en-US"/>
              </w:rPr>
            </w:pPr>
            <w:r>
              <w:rPr>
                <w:rFonts w:ascii="Arial" w:hAnsi="Arial"/>
                <w:b/>
                <w:sz w:val="20"/>
                <w:lang w:val="en-US"/>
              </w:rPr>
              <w:t>2006</w:t>
            </w:r>
          </w:p>
        </w:tc>
        <w:tc>
          <w:tcPr>
            <w:tcW w:w="1040" w:type="dxa"/>
            <w:tcBorders>
              <w:top w:val="single" w:sz="4" w:space="0" w:color="auto"/>
              <w:left w:val="single" w:sz="4" w:space="0" w:color="auto"/>
              <w:bottom w:val="single" w:sz="4" w:space="0" w:color="auto"/>
              <w:right w:val="single" w:sz="4" w:space="0" w:color="auto"/>
            </w:tcBorders>
            <w:shd w:val="clear" w:color="auto" w:fill="808080"/>
            <w:vAlign w:val="center"/>
          </w:tcPr>
          <w:p w:rsidR="00000000" w:rsidRDefault="00D35856">
            <w:pPr>
              <w:spacing w:after="0"/>
              <w:jc w:val="center"/>
              <w:rPr>
                <w:rFonts w:ascii="Arial" w:hAnsi="Arial"/>
                <w:b/>
                <w:sz w:val="20"/>
                <w:lang w:val="en-US"/>
              </w:rPr>
            </w:pPr>
            <w:r>
              <w:rPr>
                <w:rFonts w:ascii="Arial" w:hAnsi="Arial"/>
                <w:b/>
                <w:sz w:val="20"/>
                <w:lang w:val="en-US"/>
              </w:rPr>
              <w:t>2010</w:t>
            </w:r>
          </w:p>
        </w:tc>
        <w:tc>
          <w:tcPr>
            <w:tcW w:w="1040" w:type="dxa"/>
            <w:tcBorders>
              <w:top w:val="single" w:sz="4" w:space="0" w:color="auto"/>
              <w:left w:val="single" w:sz="4" w:space="0" w:color="auto"/>
              <w:bottom w:val="single" w:sz="4" w:space="0" w:color="auto"/>
              <w:right w:val="single" w:sz="4" w:space="0" w:color="auto"/>
            </w:tcBorders>
            <w:shd w:val="clear" w:color="auto" w:fill="808080"/>
            <w:vAlign w:val="center"/>
          </w:tcPr>
          <w:p w:rsidR="00000000" w:rsidRDefault="00D35856">
            <w:pPr>
              <w:spacing w:after="0"/>
              <w:jc w:val="center"/>
              <w:rPr>
                <w:rFonts w:ascii="Arial" w:hAnsi="Arial"/>
                <w:b/>
                <w:sz w:val="20"/>
                <w:lang w:val="en-US"/>
              </w:rPr>
            </w:pPr>
            <w:r>
              <w:rPr>
                <w:rFonts w:ascii="Arial" w:hAnsi="Arial"/>
                <w:b/>
                <w:sz w:val="20"/>
                <w:lang w:val="en-US"/>
              </w:rPr>
              <w:t>2020</w:t>
            </w:r>
          </w:p>
        </w:tc>
        <w:tc>
          <w:tcPr>
            <w:tcW w:w="1040" w:type="dxa"/>
            <w:tcBorders>
              <w:top w:val="single" w:sz="4" w:space="0" w:color="auto"/>
              <w:left w:val="single" w:sz="4" w:space="0" w:color="auto"/>
              <w:bottom w:val="single" w:sz="4" w:space="0" w:color="auto"/>
              <w:right w:val="single" w:sz="4" w:space="0" w:color="auto"/>
            </w:tcBorders>
            <w:shd w:val="clear" w:color="auto" w:fill="808080"/>
            <w:vAlign w:val="center"/>
          </w:tcPr>
          <w:p w:rsidR="00000000" w:rsidRDefault="00D35856">
            <w:pPr>
              <w:spacing w:after="0"/>
              <w:jc w:val="center"/>
              <w:rPr>
                <w:rFonts w:ascii="Arial" w:hAnsi="Arial"/>
                <w:b/>
                <w:sz w:val="20"/>
                <w:lang w:val="en-US"/>
              </w:rPr>
            </w:pPr>
            <w:r>
              <w:rPr>
                <w:rFonts w:ascii="Arial" w:hAnsi="Arial"/>
                <w:b/>
                <w:sz w:val="20"/>
                <w:lang w:val="en-US"/>
              </w:rPr>
              <w:t>2021</w:t>
            </w:r>
          </w:p>
        </w:tc>
      </w:tr>
      <w:tr w:rsidR="00000000">
        <w:trPr>
          <w:trHeight w:val="480"/>
        </w:trPr>
        <w:tc>
          <w:tcPr>
            <w:tcW w:w="3340" w:type="dxa"/>
            <w:tcBorders>
              <w:top w:val="single" w:sz="4" w:space="0" w:color="auto"/>
              <w:left w:val="single" w:sz="4" w:space="0" w:color="auto"/>
              <w:bottom w:val="single" w:sz="4" w:space="0" w:color="auto"/>
              <w:right w:val="single" w:sz="4" w:space="0" w:color="auto"/>
            </w:tcBorders>
            <w:vAlign w:val="bottom"/>
          </w:tcPr>
          <w:p w:rsidR="00000000" w:rsidRDefault="00D35856">
            <w:pPr>
              <w:spacing w:after="0"/>
              <w:rPr>
                <w:rFonts w:ascii="Arial" w:hAnsi="Arial"/>
                <w:sz w:val="20"/>
                <w:lang w:val="en-US"/>
              </w:rPr>
            </w:pPr>
            <w:r>
              <w:rPr>
                <w:rFonts w:ascii="Arial" w:hAnsi="Arial"/>
                <w:sz w:val="20"/>
                <w:lang w:val="en-US"/>
              </w:rPr>
              <w:t>Residential (5 uses/tap/day,  10 seconds /use)</w:t>
            </w:r>
          </w:p>
        </w:tc>
        <w:tc>
          <w:tcPr>
            <w:tcW w:w="1040"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center"/>
              <w:rPr>
                <w:rFonts w:ascii="Arial" w:hAnsi="Arial"/>
                <w:sz w:val="20"/>
                <w:lang w:val="en-US"/>
              </w:rPr>
            </w:pPr>
            <w:r>
              <w:rPr>
                <w:rFonts w:ascii="Arial" w:hAnsi="Arial"/>
                <w:sz w:val="20"/>
                <w:lang w:val="en-US"/>
              </w:rPr>
              <w:t>79</w:t>
            </w:r>
          </w:p>
        </w:tc>
        <w:tc>
          <w:tcPr>
            <w:tcW w:w="1040"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center"/>
              <w:rPr>
                <w:rFonts w:ascii="Arial" w:hAnsi="Arial"/>
                <w:sz w:val="20"/>
                <w:lang w:val="en-US"/>
              </w:rPr>
            </w:pPr>
            <w:r>
              <w:rPr>
                <w:rFonts w:ascii="Arial" w:hAnsi="Arial"/>
                <w:sz w:val="20"/>
                <w:lang w:val="en-US"/>
              </w:rPr>
              <w:t>406</w:t>
            </w:r>
          </w:p>
        </w:tc>
        <w:tc>
          <w:tcPr>
            <w:tcW w:w="1040"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center"/>
              <w:rPr>
                <w:rFonts w:ascii="Arial" w:hAnsi="Arial"/>
                <w:sz w:val="20"/>
                <w:lang w:val="en-US"/>
              </w:rPr>
            </w:pPr>
            <w:r>
              <w:rPr>
                <w:rFonts w:ascii="Arial" w:hAnsi="Arial"/>
                <w:sz w:val="20"/>
                <w:lang w:val="en-US"/>
              </w:rPr>
              <w:t>1323</w:t>
            </w:r>
          </w:p>
        </w:tc>
        <w:tc>
          <w:tcPr>
            <w:tcW w:w="1040"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center"/>
              <w:rPr>
                <w:rFonts w:ascii="Arial" w:hAnsi="Arial"/>
                <w:sz w:val="20"/>
                <w:lang w:val="en-US"/>
              </w:rPr>
            </w:pPr>
            <w:r>
              <w:rPr>
                <w:rFonts w:ascii="Arial" w:hAnsi="Arial"/>
                <w:sz w:val="20"/>
                <w:lang w:val="en-US"/>
              </w:rPr>
              <w:t>1422</w:t>
            </w:r>
          </w:p>
        </w:tc>
      </w:tr>
      <w:tr w:rsidR="00000000">
        <w:trPr>
          <w:trHeight w:val="720"/>
        </w:trPr>
        <w:tc>
          <w:tcPr>
            <w:tcW w:w="3340" w:type="dxa"/>
            <w:tcBorders>
              <w:top w:val="single" w:sz="4" w:space="0" w:color="auto"/>
              <w:left w:val="single" w:sz="4" w:space="0" w:color="auto"/>
              <w:bottom w:val="single" w:sz="4" w:space="0" w:color="auto"/>
              <w:right w:val="single" w:sz="4" w:space="0" w:color="auto"/>
            </w:tcBorders>
            <w:vAlign w:val="bottom"/>
          </w:tcPr>
          <w:p w:rsidR="00000000" w:rsidRDefault="00D35856">
            <w:pPr>
              <w:spacing w:after="0"/>
              <w:rPr>
                <w:rFonts w:ascii="Arial" w:hAnsi="Arial"/>
                <w:sz w:val="20"/>
                <w:lang w:val="en-US"/>
              </w:rPr>
            </w:pPr>
            <w:r>
              <w:rPr>
                <w:rFonts w:ascii="Arial" w:hAnsi="Arial"/>
                <w:sz w:val="20"/>
                <w:lang w:val="en-US"/>
              </w:rPr>
              <w:t>Residential / Commercial (Weighted average 10 uses/tap/day, 10 seconds/use)</w:t>
            </w:r>
          </w:p>
        </w:tc>
        <w:tc>
          <w:tcPr>
            <w:tcW w:w="1040"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center"/>
              <w:rPr>
                <w:rFonts w:ascii="Arial" w:hAnsi="Arial"/>
                <w:sz w:val="20"/>
                <w:lang w:val="en-US"/>
              </w:rPr>
            </w:pPr>
            <w:r>
              <w:rPr>
                <w:rFonts w:ascii="Arial" w:hAnsi="Arial"/>
                <w:sz w:val="20"/>
                <w:lang w:val="en-US"/>
              </w:rPr>
              <w:t>158</w:t>
            </w:r>
          </w:p>
        </w:tc>
        <w:tc>
          <w:tcPr>
            <w:tcW w:w="1040"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center"/>
              <w:rPr>
                <w:rFonts w:ascii="Arial" w:hAnsi="Arial"/>
                <w:sz w:val="20"/>
                <w:lang w:val="en-US"/>
              </w:rPr>
            </w:pPr>
            <w:r>
              <w:rPr>
                <w:rFonts w:ascii="Arial" w:hAnsi="Arial"/>
                <w:sz w:val="20"/>
                <w:lang w:val="en-US"/>
              </w:rPr>
              <w:t>813</w:t>
            </w:r>
          </w:p>
        </w:tc>
        <w:tc>
          <w:tcPr>
            <w:tcW w:w="1040"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center"/>
              <w:rPr>
                <w:rFonts w:ascii="Arial" w:hAnsi="Arial"/>
                <w:sz w:val="20"/>
                <w:lang w:val="en-US"/>
              </w:rPr>
            </w:pPr>
            <w:r>
              <w:rPr>
                <w:rFonts w:ascii="Arial" w:hAnsi="Arial"/>
                <w:sz w:val="20"/>
                <w:lang w:val="en-US"/>
              </w:rPr>
              <w:t>2646</w:t>
            </w:r>
          </w:p>
        </w:tc>
        <w:tc>
          <w:tcPr>
            <w:tcW w:w="1040"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center"/>
              <w:rPr>
                <w:rFonts w:ascii="Arial" w:hAnsi="Arial"/>
                <w:sz w:val="20"/>
                <w:lang w:val="en-US"/>
              </w:rPr>
            </w:pPr>
            <w:r>
              <w:rPr>
                <w:rFonts w:ascii="Arial" w:hAnsi="Arial"/>
                <w:sz w:val="20"/>
                <w:lang w:val="en-US"/>
              </w:rPr>
              <w:t>2845</w:t>
            </w:r>
          </w:p>
        </w:tc>
      </w:tr>
    </w:tbl>
    <w:p w:rsidR="00000000" w:rsidRDefault="00D35856">
      <w:pPr>
        <w:keepNext w:val="0"/>
      </w:pPr>
    </w:p>
    <w:p w:rsidR="00000000" w:rsidRDefault="00D35856">
      <w:pPr>
        <w:keepNext w:val="0"/>
      </w:pPr>
      <w:r>
        <w:t xml:space="preserve">These results for taps imply that the water savings from taps across the country, although small and highly variable on a per tap and per house basis, have the potential to be significant across the country. </w:t>
      </w:r>
    </w:p>
    <w:p w:rsidR="00000000" w:rsidRDefault="00D35856">
      <w:pPr>
        <w:keepNext w:val="0"/>
      </w:pPr>
      <w:r>
        <w:t>The results for taps pose an intriguing questio</w:t>
      </w:r>
      <w:r>
        <w:t>n for further research into tap efficiencies and behaviours as to whether, contrary to previous studies Roberts (2004) and George Wilkenfeld and Associates (2005), efficiency measures could in fact provide significant savings across Australia in both the r</w:t>
      </w:r>
      <w:r>
        <w:t xml:space="preserve">esidential and non-residential sectors. Further research, in particular the analysis of results from Smart Metering studies, is required to gain a clearer picture of the savings possible from installing efficient taps in homes and in industry. </w:t>
      </w:r>
    </w:p>
    <w:p w:rsidR="00000000" w:rsidRDefault="00D35856">
      <w:pPr>
        <w:pStyle w:val="Heading2"/>
        <w:pageBreakBefore/>
        <w:numPr>
          <w:ilvl w:val="1"/>
          <w:numId w:val="3"/>
        </w:numPr>
        <w:tabs>
          <w:tab w:val="clear" w:pos="1296"/>
        </w:tabs>
        <w:ind w:left="567" w:hanging="567"/>
        <w:rPr>
          <w:color w:val="auto"/>
        </w:rPr>
      </w:pPr>
      <w:bookmarkStart w:id="125" w:name="_Toc191452233"/>
      <w:bookmarkStart w:id="126" w:name="_Toc199933743"/>
      <w:r>
        <w:rPr>
          <w:color w:val="auto"/>
        </w:rPr>
        <w:lastRenderedPageBreak/>
        <w:t>Summary</w:t>
      </w:r>
      <w:bookmarkEnd w:id="125"/>
      <w:r>
        <w:rPr>
          <w:color w:val="auto"/>
        </w:rPr>
        <w:t xml:space="preserve"> of water savings</w:t>
      </w:r>
      <w:bookmarkEnd w:id="126"/>
    </w:p>
    <w:p w:rsidR="00000000" w:rsidRDefault="00D35856">
      <w:pPr>
        <w:keepNext w:val="0"/>
      </w:pPr>
      <w:r>
        <w:t>The water savings by product type are shown below.</w:t>
      </w:r>
    </w:p>
    <w:p w:rsidR="00000000" w:rsidRDefault="00D35856">
      <w:pPr>
        <w:pStyle w:val="Caption"/>
      </w:pPr>
      <w:bookmarkStart w:id="127" w:name="_Toc191475266"/>
      <w:bookmarkStart w:id="128" w:name="_Toc199933829"/>
      <w:r>
        <w:t xml:space="preserve">Figure </w:t>
      </w:r>
      <w:r>
        <w:fldChar w:fldCharType="begin"/>
      </w:r>
      <w:r>
        <w:instrText xml:space="preserve"> STYLEREF 1 \s </w:instrText>
      </w:r>
      <w:r>
        <w:fldChar w:fldCharType="separate"/>
      </w:r>
      <w:r>
        <w:rPr>
          <w:noProof/>
        </w:rPr>
        <w:t>3</w:t>
      </w:r>
      <w:r>
        <w:fldChar w:fldCharType="end"/>
      </w:r>
      <w:r>
        <w:noBreakHyphen/>
        <w:t>16 Summary of water savings by product type (ML/a)</w:t>
      </w:r>
      <w:bookmarkEnd w:id="127"/>
      <w:bookmarkEnd w:id="128"/>
    </w:p>
    <w:p w:rsidR="00000000" w:rsidRDefault="00D35856">
      <w:r>
        <w:rPr>
          <w:noProof/>
          <w:lang w:eastAsia="en-AU"/>
        </w:rPr>
        <w:drawing>
          <wp:inline distT="0" distB="0" distL="0" distR="0">
            <wp:extent cx="5394960" cy="3261360"/>
            <wp:effectExtent l="19050" t="0" r="0" b="0"/>
            <wp:docPr id="23" name="Picture 23" descr="Fig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gure 3-16"/>
                    <pic:cNvPicPr>
                      <a:picLocks noChangeAspect="1" noChangeArrowheads="1"/>
                    </pic:cNvPicPr>
                  </pic:nvPicPr>
                  <pic:blipFill>
                    <a:blip r:embed="rId36"/>
                    <a:srcRect/>
                    <a:stretch>
                      <a:fillRect/>
                    </a:stretch>
                  </pic:blipFill>
                  <pic:spPr bwMode="auto">
                    <a:xfrm>
                      <a:off x="0" y="0"/>
                      <a:ext cx="5394960" cy="3261360"/>
                    </a:xfrm>
                    <a:prstGeom prst="rect">
                      <a:avLst/>
                    </a:prstGeom>
                    <a:noFill/>
                    <a:ln w="9525">
                      <a:noFill/>
                      <a:miter lim="800000"/>
                      <a:headEnd/>
                      <a:tailEnd/>
                    </a:ln>
                  </pic:spPr>
                </pic:pic>
              </a:graphicData>
            </a:graphic>
          </wp:inline>
        </w:drawing>
      </w:r>
    </w:p>
    <w:p w:rsidR="00000000" w:rsidRDefault="00D35856"/>
    <w:p w:rsidR="00000000" w:rsidRDefault="00D35856">
      <w:pPr>
        <w:pStyle w:val="Caption"/>
      </w:pPr>
      <w:bookmarkStart w:id="129" w:name="_Toc199933793"/>
      <w:r>
        <w:t xml:space="preserve">Table </w:t>
      </w:r>
      <w:r>
        <w:fldChar w:fldCharType="begin"/>
      </w:r>
      <w:r>
        <w:instrText xml:space="preserve"> STYLEREF 1 \s </w:instrText>
      </w:r>
      <w:r>
        <w:fldChar w:fldCharType="separate"/>
      </w:r>
      <w:r>
        <w:rPr>
          <w:noProof/>
        </w:rPr>
        <w:t>3</w:t>
      </w:r>
      <w:r>
        <w:fldChar w:fldCharType="end"/>
      </w:r>
      <w:r>
        <w:noBreakHyphen/>
        <w:t>11 Summary of water savings by product type (ML/a)</w:t>
      </w:r>
      <w:bookmarkEnd w:id="129"/>
    </w:p>
    <w:tbl>
      <w:tblPr>
        <w:tblW w:w="9240" w:type="dxa"/>
        <w:tblInd w:w="94" w:type="dxa"/>
        <w:tblLook w:val="0000"/>
      </w:tblPr>
      <w:tblGrid>
        <w:gridCol w:w="2640"/>
        <w:gridCol w:w="1320"/>
        <w:gridCol w:w="1320"/>
        <w:gridCol w:w="1320"/>
        <w:gridCol w:w="1320"/>
        <w:gridCol w:w="1320"/>
      </w:tblGrid>
      <w:tr w:rsidR="00000000">
        <w:trPr>
          <w:trHeight w:val="255"/>
        </w:trPr>
        <w:tc>
          <w:tcPr>
            <w:tcW w:w="2640"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00000" w:rsidRDefault="00D35856">
            <w:pPr>
              <w:spacing w:after="0"/>
              <w:jc w:val="left"/>
              <w:rPr>
                <w:rFonts w:ascii="Verdana" w:hAnsi="Verdana"/>
                <w:b/>
                <w:bCs/>
                <w:sz w:val="20"/>
                <w:szCs w:val="20"/>
                <w:lang w:val="en-US"/>
              </w:rPr>
            </w:pPr>
            <w:r>
              <w:rPr>
                <w:rFonts w:ascii="Verdana" w:hAnsi="Verdana"/>
                <w:b/>
                <w:bCs/>
                <w:sz w:val="20"/>
                <w:szCs w:val="20"/>
                <w:lang w:val="en-US"/>
              </w:rPr>
              <w:t>Water Savings</w:t>
            </w:r>
          </w:p>
        </w:tc>
        <w:tc>
          <w:tcPr>
            <w:tcW w:w="1320" w:type="dxa"/>
            <w:tcBorders>
              <w:top w:val="single" w:sz="4" w:space="0" w:color="auto"/>
              <w:left w:val="nil"/>
              <w:bottom w:val="single" w:sz="4" w:space="0" w:color="auto"/>
              <w:right w:val="single" w:sz="4" w:space="0" w:color="auto"/>
            </w:tcBorders>
            <w:shd w:val="clear" w:color="auto" w:fill="808080"/>
            <w:noWrap/>
            <w:vAlign w:val="bottom"/>
          </w:tcPr>
          <w:p w:rsidR="00000000" w:rsidRDefault="00D35856">
            <w:pPr>
              <w:spacing w:after="0"/>
              <w:jc w:val="center"/>
              <w:rPr>
                <w:rFonts w:ascii="Verdana" w:hAnsi="Verdana"/>
                <w:b/>
                <w:bCs/>
                <w:sz w:val="20"/>
                <w:szCs w:val="20"/>
                <w:lang w:val="en-US"/>
              </w:rPr>
            </w:pPr>
            <w:r>
              <w:rPr>
                <w:rFonts w:ascii="Verdana" w:hAnsi="Verdana"/>
                <w:b/>
                <w:bCs/>
                <w:sz w:val="20"/>
                <w:szCs w:val="20"/>
                <w:lang w:val="en-US"/>
              </w:rPr>
              <w:t>2006</w:t>
            </w:r>
          </w:p>
        </w:tc>
        <w:tc>
          <w:tcPr>
            <w:tcW w:w="1320" w:type="dxa"/>
            <w:tcBorders>
              <w:top w:val="single" w:sz="4" w:space="0" w:color="auto"/>
              <w:left w:val="nil"/>
              <w:bottom w:val="single" w:sz="4" w:space="0" w:color="auto"/>
              <w:right w:val="single" w:sz="4" w:space="0" w:color="auto"/>
            </w:tcBorders>
            <w:shd w:val="clear" w:color="auto" w:fill="808080"/>
            <w:noWrap/>
            <w:vAlign w:val="bottom"/>
          </w:tcPr>
          <w:p w:rsidR="00000000" w:rsidRDefault="00D35856">
            <w:pPr>
              <w:spacing w:after="0"/>
              <w:jc w:val="center"/>
              <w:rPr>
                <w:rFonts w:ascii="Verdana" w:hAnsi="Verdana"/>
                <w:b/>
                <w:bCs/>
                <w:sz w:val="20"/>
                <w:szCs w:val="20"/>
                <w:lang w:val="en-US"/>
              </w:rPr>
            </w:pPr>
            <w:r>
              <w:rPr>
                <w:rFonts w:ascii="Verdana" w:hAnsi="Verdana"/>
                <w:b/>
                <w:bCs/>
                <w:sz w:val="20"/>
                <w:szCs w:val="20"/>
                <w:lang w:val="en-US"/>
              </w:rPr>
              <w:t>2010</w:t>
            </w:r>
          </w:p>
        </w:tc>
        <w:tc>
          <w:tcPr>
            <w:tcW w:w="1320" w:type="dxa"/>
            <w:tcBorders>
              <w:top w:val="single" w:sz="4" w:space="0" w:color="auto"/>
              <w:left w:val="nil"/>
              <w:bottom w:val="single" w:sz="4" w:space="0" w:color="auto"/>
              <w:right w:val="single" w:sz="4" w:space="0" w:color="auto"/>
            </w:tcBorders>
            <w:shd w:val="clear" w:color="auto" w:fill="808080"/>
            <w:noWrap/>
            <w:vAlign w:val="bottom"/>
          </w:tcPr>
          <w:p w:rsidR="00000000" w:rsidRDefault="00D35856">
            <w:pPr>
              <w:spacing w:after="0"/>
              <w:jc w:val="center"/>
              <w:rPr>
                <w:rFonts w:ascii="Verdana" w:hAnsi="Verdana"/>
                <w:b/>
                <w:bCs/>
                <w:sz w:val="20"/>
                <w:szCs w:val="20"/>
                <w:lang w:val="en-US"/>
              </w:rPr>
            </w:pPr>
            <w:r>
              <w:rPr>
                <w:rFonts w:ascii="Verdana" w:hAnsi="Verdana"/>
                <w:b/>
                <w:bCs/>
                <w:sz w:val="20"/>
                <w:szCs w:val="20"/>
                <w:lang w:val="en-US"/>
              </w:rPr>
              <w:t>2015</w:t>
            </w:r>
          </w:p>
        </w:tc>
        <w:tc>
          <w:tcPr>
            <w:tcW w:w="1320" w:type="dxa"/>
            <w:tcBorders>
              <w:top w:val="single" w:sz="4" w:space="0" w:color="auto"/>
              <w:left w:val="nil"/>
              <w:bottom w:val="single" w:sz="4" w:space="0" w:color="auto"/>
              <w:right w:val="single" w:sz="4" w:space="0" w:color="auto"/>
            </w:tcBorders>
            <w:shd w:val="clear" w:color="auto" w:fill="808080"/>
            <w:noWrap/>
            <w:vAlign w:val="bottom"/>
          </w:tcPr>
          <w:p w:rsidR="00000000" w:rsidRDefault="00D35856">
            <w:pPr>
              <w:spacing w:after="0"/>
              <w:jc w:val="center"/>
              <w:rPr>
                <w:rFonts w:ascii="Verdana" w:hAnsi="Verdana"/>
                <w:b/>
                <w:bCs/>
                <w:sz w:val="20"/>
                <w:szCs w:val="20"/>
                <w:lang w:val="en-US"/>
              </w:rPr>
            </w:pPr>
            <w:r>
              <w:rPr>
                <w:rFonts w:ascii="Verdana" w:hAnsi="Verdana"/>
                <w:b/>
                <w:bCs/>
                <w:sz w:val="20"/>
                <w:szCs w:val="20"/>
                <w:lang w:val="en-US"/>
              </w:rPr>
              <w:t>2020</w:t>
            </w:r>
          </w:p>
        </w:tc>
        <w:tc>
          <w:tcPr>
            <w:tcW w:w="1320" w:type="dxa"/>
            <w:tcBorders>
              <w:top w:val="single" w:sz="4" w:space="0" w:color="auto"/>
              <w:left w:val="nil"/>
              <w:bottom w:val="single" w:sz="4" w:space="0" w:color="auto"/>
              <w:right w:val="single" w:sz="4" w:space="0" w:color="auto"/>
            </w:tcBorders>
            <w:shd w:val="clear" w:color="auto" w:fill="808080"/>
            <w:noWrap/>
            <w:vAlign w:val="bottom"/>
          </w:tcPr>
          <w:p w:rsidR="00000000" w:rsidRDefault="00D35856">
            <w:pPr>
              <w:spacing w:after="0"/>
              <w:jc w:val="center"/>
              <w:rPr>
                <w:rFonts w:ascii="Verdana" w:hAnsi="Verdana"/>
                <w:b/>
                <w:bCs/>
                <w:sz w:val="20"/>
                <w:szCs w:val="20"/>
                <w:lang w:val="en-US"/>
              </w:rPr>
            </w:pPr>
            <w:r>
              <w:rPr>
                <w:rFonts w:ascii="Verdana" w:hAnsi="Verdana"/>
                <w:b/>
                <w:bCs/>
                <w:sz w:val="20"/>
                <w:szCs w:val="20"/>
                <w:lang w:val="en-US"/>
              </w:rPr>
              <w:t>2021</w:t>
            </w:r>
          </w:p>
        </w:tc>
      </w:tr>
      <w:tr w:rsidR="00000000">
        <w:trPr>
          <w:trHeight w:val="255"/>
        </w:trPr>
        <w:tc>
          <w:tcPr>
            <w:tcW w:w="2640" w:type="dxa"/>
            <w:tcBorders>
              <w:top w:val="nil"/>
              <w:left w:val="single" w:sz="4" w:space="0" w:color="auto"/>
              <w:bottom w:val="single" w:sz="4" w:space="0" w:color="auto"/>
              <w:right w:val="single" w:sz="4" w:space="0" w:color="auto"/>
            </w:tcBorders>
            <w:noWrap/>
            <w:vAlign w:val="bottom"/>
          </w:tcPr>
          <w:p w:rsidR="00000000" w:rsidRDefault="00D35856">
            <w:pPr>
              <w:spacing w:after="0"/>
              <w:jc w:val="left"/>
              <w:rPr>
                <w:rFonts w:ascii="Verdana" w:hAnsi="Verdana"/>
                <w:sz w:val="20"/>
                <w:szCs w:val="20"/>
                <w:lang w:val="en-US"/>
              </w:rPr>
            </w:pPr>
            <w:r>
              <w:rPr>
                <w:rFonts w:ascii="Verdana" w:hAnsi="Verdana"/>
                <w:sz w:val="20"/>
                <w:szCs w:val="20"/>
                <w:lang w:val="en-US"/>
              </w:rPr>
              <w:t xml:space="preserve">Washing Machines </w:t>
            </w:r>
          </w:p>
        </w:tc>
        <w:tc>
          <w:tcPr>
            <w:tcW w:w="1320" w:type="dxa"/>
            <w:tcBorders>
              <w:top w:val="nil"/>
              <w:left w:val="nil"/>
              <w:bottom w:val="single" w:sz="4" w:space="0" w:color="auto"/>
              <w:right w:val="single" w:sz="4" w:space="0" w:color="auto"/>
            </w:tcBorders>
            <w:noWrap/>
            <w:vAlign w:val="bottom"/>
          </w:tcPr>
          <w:p w:rsidR="00000000" w:rsidRDefault="00D35856">
            <w:pPr>
              <w:spacing w:after="0"/>
              <w:jc w:val="center"/>
              <w:rPr>
                <w:rFonts w:ascii="Verdana" w:hAnsi="Verdana"/>
                <w:sz w:val="20"/>
                <w:szCs w:val="20"/>
                <w:lang w:val="en-US"/>
              </w:rPr>
            </w:pPr>
            <w:r>
              <w:rPr>
                <w:rFonts w:ascii="Verdana" w:hAnsi="Verdana"/>
                <w:sz w:val="20"/>
                <w:szCs w:val="20"/>
                <w:lang w:val="en-US"/>
              </w:rPr>
              <w:t>38</w:t>
            </w:r>
          </w:p>
        </w:tc>
        <w:tc>
          <w:tcPr>
            <w:tcW w:w="1320" w:type="dxa"/>
            <w:tcBorders>
              <w:top w:val="nil"/>
              <w:left w:val="nil"/>
              <w:bottom w:val="single" w:sz="4" w:space="0" w:color="auto"/>
              <w:right w:val="single" w:sz="4" w:space="0" w:color="auto"/>
            </w:tcBorders>
            <w:noWrap/>
            <w:vAlign w:val="bottom"/>
          </w:tcPr>
          <w:p w:rsidR="00000000" w:rsidRDefault="00D35856">
            <w:pPr>
              <w:spacing w:after="0"/>
              <w:jc w:val="center"/>
              <w:rPr>
                <w:rFonts w:ascii="Verdana" w:hAnsi="Verdana"/>
                <w:sz w:val="20"/>
                <w:szCs w:val="20"/>
                <w:lang w:val="en-US"/>
              </w:rPr>
            </w:pPr>
            <w:r>
              <w:rPr>
                <w:rFonts w:ascii="Verdana" w:hAnsi="Verdana"/>
                <w:sz w:val="20"/>
                <w:szCs w:val="20"/>
                <w:lang w:val="en-US"/>
              </w:rPr>
              <w:t>4</w:t>
            </w:r>
            <w:r>
              <w:rPr>
                <w:sz w:val="20"/>
                <w:szCs w:val="20"/>
                <w:lang w:val="en-US"/>
              </w:rPr>
              <w:t> </w:t>
            </w:r>
            <w:r>
              <w:rPr>
                <w:rFonts w:ascii="Verdana" w:hAnsi="Verdana"/>
                <w:sz w:val="20"/>
                <w:szCs w:val="20"/>
                <w:lang w:val="en-US"/>
              </w:rPr>
              <w:t>254</w:t>
            </w:r>
          </w:p>
        </w:tc>
        <w:tc>
          <w:tcPr>
            <w:tcW w:w="1320" w:type="dxa"/>
            <w:tcBorders>
              <w:top w:val="nil"/>
              <w:left w:val="nil"/>
              <w:bottom w:val="single" w:sz="4" w:space="0" w:color="auto"/>
              <w:right w:val="single" w:sz="4" w:space="0" w:color="auto"/>
            </w:tcBorders>
            <w:noWrap/>
            <w:vAlign w:val="bottom"/>
          </w:tcPr>
          <w:p w:rsidR="00000000" w:rsidRDefault="00D35856">
            <w:pPr>
              <w:spacing w:after="0"/>
              <w:jc w:val="center"/>
              <w:rPr>
                <w:rFonts w:ascii="Verdana" w:hAnsi="Verdana"/>
                <w:sz w:val="20"/>
                <w:szCs w:val="20"/>
                <w:lang w:val="en-US"/>
              </w:rPr>
            </w:pPr>
            <w:r>
              <w:rPr>
                <w:rFonts w:ascii="Verdana" w:hAnsi="Verdana"/>
                <w:sz w:val="20"/>
                <w:szCs w:val="20"/>
                <w:lang w:val="en-US"/>
              </w:rPr>
              <w:t>18</w:t>
            </w:r>
            <w:r>
              <w:rPr>
                <w:sz w:val="20"/>
                <w:szCs w:val="20"/>
                <w:lang w:val="en-US"/>
              </w:rPr>
              <w:t> </w:t>
            </w:r>
            <w:r>
              <w:rPr>
                <w:rFonts w:ascii="Verdana" w:hAnsi="Verdana"/>
                <w:sz w:val="20"/>
                <w:szCs w:val="20"/>
                <w:lang w:val="en-US"/>
              </w:rPr>
              <w:t>931</w:t>
            </w:r>
          </w:p>
        </w:tc>
        <w:tc>
          <w:tcPr>
            <w:tcW w:w="1320" w:type="dxa"/>
            <w:tcBorders>
              <w:top w:val="nil"/>
              <w:left w:val="nil"/>
              <w:bottom w:val="single" w:sz="4" w:space="0" w:color="auto"/>
              <w:right w:val="single" w:sz="4" w:space="0" w:color="auto"/>
            </w:tcBorders>
            <w:noWrap/>
            <w:vAlign w:val="bottom"/>
          </w:tcPr>
          <w:p w:rsidR="00000000" w:rsidRDefault="00D35856">
            <w:pPr>
              <w:spacing w:after="0"/>
              <w:jc w:val="center"/>
              <w:rPr>
                <w:rFonts w:ascii="Verdana" w:hAnsi="Verdana"/>
                <w:sz w:val="20"/>
                <w:szCs w:val="20"/>
                <w:lang w:val="en-US"/>
              </w:rPr>
            </w:pPr>
            <w:r>
              <w:rPr>
                <w:rFonts w:ascii="Verdana" w:hAnsi="Verdana"/>
                <w:sz w:val="20"/>
                <w:szCs w:val="20"/>
                <w:lang w:val="en-US"/>
              </w:rPr>
              <w:t>41</w:t>
            </w:r>
            <w:r>
              <w:rPr>
                <w:sz w:val="20"/>
                <w:szCs w:val="20"/>
                <w:lang w:val="en-US"/>
              </w:rPr>
              <w:t> </w:t>
            </w:r>
            <w:r>
              <w:rPr>
                <w:rFonts w:ascii="Verdana" w:hAnsi="Verdana"/>
                <w:sz w:val="20"/>
                <w:szCs w:val="20"/>
                <w:lang w:val="en-US"/>
              </w:rPr>
              <w:t>653</w:t>
            </w:r>
          </w:p>
        </w:tc>
        <w:tc>
          <w:tcPr>
            <w:tcW w:w="1320" w:type="dxa"/>
            <w:tcBorders>
              <w:top w:val="nil"/>
              <w:left w:val="nil"/>
              <w:bottom w:val="single" w:sz="4" w:space="0" w:color="auto"/>
              <w:right w:val="single" w:sz="4" w:space="0" w:color="auto"/>
            </w:tcBorders>
            <w:noWrap/>
            <w:vAlign w:val="bottom"/>
          </w:tcPr>
          <w:p w:rsidR="00000000" w:rsidRDefault="00D35856">
            <w:pPr>
              <w:spacing w:after="0"/>
              <w:jc w:val="center"/>
              <w:rPr>
                <w:rFonts w:ascii="Verdana" w:hAnsi="Verdana"/>
                <w:sz w:val="20"/>
                <w:szCs w:val="20"/>
                <w:lang w:val="en-US"/>
              </w:rPr>
            </w:pPr>
            <w:r>
              <w:rPr>
                <w:rFonts w:ascii="Verdana" w:hAnsi="Verdana"/>
                <w:sz w:val="20"/>
                <w:szCs w:val="20"/>
                <w:lang w:val="en-US"/>
              </w:rPr>
              <w:t>47</w:t>
            </w:r>
            <w:r>
              <w:rPr>
                <w:sz w:val="20"/>
                <w:szCs w:val="20"/>
                <w:lang w:val="en-US"/>
              </w:rPr>
              <w:t> </w:t>
            </w:r>
            <w:r>
              <w:rPr>
                <w:rFonts w:ascii="Verdana" w:hAnsi="Verdana"/>
                <w:sz w:val="20"/>
                <w:szCs w:val="20"/>
                <w:lang w:val="en-US"/>
              </w:rPr>
              <w:t>255</w:t>
            </w:r>
          </w:p>
        </w:tc>
      </w:tr>
      <w:tr w:rsidR="00000000">
        <w:trPr>
          <w:trHeight w:val="255"/>
        </w:trPr>
        <w:tc>
          <w:tcPr>
            <w:tcW w:w="2640" w:type="dxa"/>
            <w:tcBorders>
              <w:top w:val="nil"/>
              <w:left w:val="single" w:sz="4" w:space="0" w:color="auto"/>
              <w:bottom w:val="single" w:sz="4" w:space="0" w:color="auto"/>
              <w:right w:val="single" w:sz="4" w:space="0" w:color="auto"/>
            </w:tcBorders>
            <w:noWrap/>
            <w:vAlign w:val="bottom"/>
          </w:tcPr>
          <w:p w:rsidR="00000000" w:rsidRDefault="00D35856">
            <w:pPr>
              <w:spacing w:after="0"/>
              <w:jc w:val="left"/>
              <w:rPr>
                <w:rFonts w:ascii="Verdana" w:hAnsi="Verdana"/>
                <w:sz w:val="20"/>
                <w:szCs w:val="20"/>
                <w:lang w:val="en-US"/>
              </w:rPr>
            </w:pPr>
            <w:r>
              <w:rPr>
                <w:rFonts w:ascii="Verdana" w:hAnsi="Verdana"/>
                <w:sz w:val="20"/>
                <w:szCs w:val="20"/>
                <w:lang w:val="en-US"/>
              </w:rPr>
              <w:t>Dishwashers</w:t>
            </w:r>
          </w:p>
        </w:tc>
        <w:tc>
          <w:tcPr>
            <w:tcW w:w="1320" w:type="dxa"/>
            <w:tcBorders>
              <w:top w:val="nil"/>
              <w:left w:val="nil"/>
              <w:bottom w:val="single" w:sz="4" w:space="0" w:color="auto"/>
              <w:right w:val="single" w:sz="4" w:space="0" w:color="auto"/>
            </w:tcBorders>
            <w:noWrap/>
            <w:vAlign w:val="bottom"/>
          </w:tcPr>
          <w:p w:rsidR="00000000" w:rsidRDefault="00D35856">
            <w:pPr>
              <w:spacing w:after="0"/>
              <w:jc w:val="center"/>
              <w:rPr>
                <w:rFonts w:ascii="Verdana" w:hAnsi="Verdana"/>
                <w:sz w:val="20"/>
                <w:szCs w:val="20"/>
                <w:lang w:val="en-US"/>
              </w:rPr>
            </w:pPr>
            <w:r>
              <w:rPr>
                <w:rFonts w:ascii="Verdana" w:hAnsi="Verdana"/>
                <w:sz w:val="20"/>
                <w:szCs w:val="20"/>
                <w:lang w:val="en-US"/>
              </w:rPr>
              <w:t>30</w:t>
            </w:r>
          </w:p>
        </w:tc>
        <w:tc>
          <w:tcPr>
            <w:tcW w:w="1320" w:type="dxa"/>
            <w:tcBorders>
              <w:top w:val="nil"/>
              <w:left w:val="nil"/>
              <w:bottom w:val="single" w:sz="4" w:space="0" w:color="auto"/>
              <w:right w:val="single" w:sz="4" w:space="0" w:color="auto"/>
            </w:tcBorders>
            <w:noWrap/>
            <w:vAlign w:val="bottom"/>
          </w:tcPr>
          <w:p w:rsidR="00000000" w:rsidRDefault="00D35856">
            <w:pPr>
              <w:spacing w:after="0"/>
              <w:jc w:val="center"/>
              <w:rPr>
                <w:rFonts w:ascii="Verdana" w:hAnsi="Verdana"/>
                <w:sz w:val="20"/>
                <w:szCs w:val="20"/>
                <w:lang w:val="en-US"/>
              </w:rPr>
            </w:pPr>
            <w:r>
              <w:rPr>
                <w:rFonts w:ascii="Verdana" w:hAnsi="Verdana"/>
                <w:sz w:val="20"/>
                <w:szCs w:val="20"/>
                <w:lang w:val="en-US"/>
              </w:rPr>
              <w:t>372</w:t>
            </w:r>
          </w:p>
        </w:tc>
        <w:tc>
          <w:tcPr>
            <w:tcW w:w="1320" w:type="dxa"/>
            <w:tcBorders>
              <w:top w:val="nil"/>
              <w:left w:val="nil"/>
              <w:bottom w:val="single" w:sz="4" w:space="0" w:color="auto"/>
              <w:right w:val="single" w:sz="4" w:space="0" w:color="auto"/>
            </w:tcBorders>
            <w:noWrap/>
            <w:vAlign w:val="bottom"/>
          </w:tcPr>
          <w:p w:rsidR="00000000" w:rsidRDefault="00D35856">
            <w:pPr>
              <w:spacing w:after="0"/>
              <w:jc w:val="center"/>
              <w:rPr>
                <w:rFonts w:ascii="Verdana" w:hAnsi="Verdana"/>
                <w:sz w:val="20"/>
                <w:szCs w:val="20"/>
                <w:lang w:val="en-US"/>
              </w:rPr>
            </w:pPr>
            <w:r>
              <w:rPr>
                <w:rFonts w:ascii="Verdana" w:hAnsi="Verdana"/>
                <w:sz w:val="20"/>
                <w:szCs w:val="20"/>
                <w:lang w:val="en-US"/>
              </w:rPr>
              <w:t>1</w:t>
            </w:r>
            <w:r>
              <w:rPr>
                <w:sz w:val="20"/>
                <w:szCs w:val="20"/>
                <w:lang w:val="en-US"/>
              </w:rPr>
              <w:t> </w:t>
            </w:r>
            <w:r>
              <w:rPr>
                <w:rFonts w:ascii="Verdana" w:hAnsi="Verdana"/>
                <w:sz w:val="20"/>
                <w:szCs w:val="20"/>
                <w:lang w:val="en-US"/>
              </w:rPr>
              <w:t>424</w:t>
            </w:r>
          </w:p>
        </w:tc>
        <w:tc>
          <w:tcPr>
            <w:tcW w:w="1320" w:type="dxa"/>
            <w:tcBorders>
              <w:top w:val="nil"/>
              <w:left w:val="nil"/>
              <w:bottom w:val="single" w:sz="4" w:space="0" w:color="auto"/>
              <w:right w:val="single" w:sz="4" w:space="0" w:color="auto"/>
            </w:tcBorders>
            <w:noWrap/>
            <w:vAlign w:val="bottom"/>
          </w:tcPr>
          <w:p w:rsidR="00000000" w:rsidRDefault="00D35856">
            <w:pPr>
              <w:spacing w:after="0"/>
              <w:jc w:val="center"/>
              <w:rPr>
                <w:rFonts w:ascii="Verdana" w:hAnsi="Verdana"/>
                <w:sz w:val="20"/>
                <w:szCs w:val="20"/>
                <w:lang w:val="en-US"/>
              </w:rPr>
            </w:pPr>
            <w:r>
              <w:rPr>
                <w:rFonts w:ascii="Verdana" w:hAnsi="Verdana"/>
                <w:sz w:val="20"/>
                <w:szCs w:val="20"/>
                <w:lang w:val="en-US"/>
              </w:rPr>
              <w:t>3</w:t>
            </w:r>
            <w:r>
              <w:rPr>
                <w:sz w:val="20"/>
                <w:szCs w:val="20"/>
                <w:lang w:val="en-US"/>
              </w:rPr>
              <w:t> </w:t>
            </w:r>
            <w:r>
              <w:rPr>
                <w:rFonts w:ascii="Verdana" w:hAnsi="Verdana"/>
                <w:sz w:val="20"/>
                <w:szCs w:val="20"/>
                <w:lang w:val="en-US"/>
              </w:rPr>
              <w:t>339</w:t>
            </w:r>
          </w:p>
        </w:tc>
        <w:tc>
          <w:tcPr>
            <w:tcW w:w="1320" w:type="dxa"/>
            <w:tcBorders>
              <w:top w:val="nil"/>
              <w:left w:val="nil"/>
              <w:bottom w:val="single" w:sz="4" w:space="0" w:color="auto"/>
              <w:right w:val="single" w:sz="4" w:space="0" w:color="auto"/>
            </w:tcBorders>
            <w:noWrap/>
            <w:vAlign w:val="bottom"/>
          </w:tcPr>
          <w:p w:rsidR="00000000" w:rsidRDefault="00D35856">
            <w:pPr>
              <w:spacing w:after="0"/>
              <w:jc w:val="center"/>
              <w:rPr>
                <w:rFonts w:ascii="Verdana" w:hAnsi="Verdana"/>
                <w:sz w:val="20"/>
                <w:szCs w:val="20"/>
                <w:lang w:val="en-US"/>
              </w:rPr>
            </w:pPr>
            <w:r>
              <w:rPr>
                <w:rFonts w:ascii="Verdana" w:hAnsi="Verdana"/>
                <w:sz w:val="20"/>
                <w:szCs w:val="20"/>
                <w:lang w:val="en-US"/>
              </w:rPr>
              <w:t>3</w:t>
            </w:r>
            <w:r>
              <w:rPr>
                <w:sz w:val="20"/>
                <w:szCs w:val="20"/>
                <w:lang w:val="en-US"/>
              </w:rPr>
              <w:t> </w:t>
            </w:r>
            <w:r>
              <w:rPr>
                <w:rFonts w:ascii="Verdana" w:hAnsi="Verdana"/>
                <w:sz w:val="20"/>
                <w:szCs w:val="20"/>
                <w:lang w:val="en-US"/>
              </w:rPr>
              <w:t>822</w:t>
            </w:r>
          </w:p>
        </w:tc>
      </w:tr>
      <w:tr w:rsidR="00000000">
        <w:trPr>
          <w:trHeight w:val="255"/>
        </w:trPr>
        <w:tc>
          <w:tcPr>
            <w:tcW w:w="2640" w:type="dxa"/>
            <w:tcBorders>
              <w:top w:val="nil"/>
              <w:left w:val="single" w:sz="4" w:space="0" w:color="auto"/>
              <w:bottom w:val="single" w:sz="4" w:space="0" w:color="auto"/>
              <w:right w:val="single" w:sz="4" w:space="0" w:color="auto"/>
            </w:tcBorders>
            <w:noWrap/>
            <w:vAlign w:val="bottom"/>
          </w:tcPr>
          <w:p w:rsidR="00000000" w:rsidRDefault="00D35856">
            <w:pPr>
              <w:spacing w:after="0"/>
              <w:jc w:val="left"/>
              <w:rPr>
                <w:rFonts w:ascii="Verdana" w:hAnsi="Verdana"/>
                <w:sz w:val="20"/>
                <w:szCs w:val="20"/>
                <w:lang w:val="en-US"/>
              </w:rPr>
            </w:pPr>
            <w:r>
              <w:rPr>
                <w:rFonts w:ascii="Verdana" w:hAnsi="Verdana"/>
                <w:sz w:val="20"/>
                <w:szCs w:val="20"/>
                <w:lang w:val="en-US"/>
              </w:rPr>
              <w:t>Toilets and Urinals</w:t>
            </w:r>
          </w:p>
        </w:tc>
        <w:tc>
          <w:tcPr>
            <w:tcW w:w="1320" w:type="dxa"/>
            <w:tcBorders>
              <w:top w:val="nil"/>
              <w:left w:val="nil"/>
              <w:bottom w:val="single" w:sz="4" w:space="0" w:color="auto"/>
              <w:right w:val="single" w:sz="4" w:space="0" w:color="auto"/>
            </w:tcBorders>
            <w:noWrap/>
            <w:vAlign w:val="bottom"/>
          </w:tcPr>
          <w:p w:rsidR="00000000" w:rsidRDefault="00D35856">
            <w:pPr>
              <w:spacing w:after="0"/>
              <w:jc w:val="center"/>
              <w:rPr>
                <w:rFonts w:ascii="Verdana" w:hAnsi="Verdana"/>
                <w:sz w:val="20"/>
                <w:szCs w:val="20"/>
                <w:lang w:val="en-US"/>
              </w:rPr>
            </w:pPr>
            <w:r>
              <w:rPr>
                <w:rFonts w:ascii="Verdana" w:hAnsi="Verdana"/>
                <w:sz w:val="20"/>
                <w:szCs w:val="20"/>
                <w:lang w:val="en-US"/>
              </w:rPr>
              <w:t>446</w:t>
            </w:r>
          </w:p>
        </w:tc>
        <w:tc>
          <w:tcPr>
            <w:tcW w:w="1320" w:type="dxa"/>
            <w:tcBorders>
              <w:top w:val="nil"/>
              <w:left w:val="nil"/>
              <w:bottom w:val="single" w:sz="4" w:space="0" w:color="auto"/>
              <w:right w:val="single" w:sz="4" w:space="0" w:color="auto"/>
            </w:tcBorders>
            <w:noWrap/>
            <w:vAlign w:val="bottom"/>
          </w:tcPr>
          <w:p w:rsidR="00000000" w:rsidRDefault="00D35856">
            <w:pPr>
              <w:spacing w:after="0"/>
              <w:jc w:val="center"/>
              <w:rPr>
                <w:rFonts w:ascii="Verdana" w:hAnsi="Verdana"/>
                <w:sz w:val="20"/>
                <w:szCs w:val="20"/>
                <w:lang w:val="en-US"/>
              </w:rPr>
            </w:pPr>
            <w:r>
              <w:rPr>
                <w:rFonts w:ascii="Verdana" w:hAnsi="Verdana"/>
                <w:sz w:val="20"/>
                <w:szCs w:val="20"/>
                <w:lang w:val="en-US"/>
              </w:rPr>
              <w:t>6</w:t>
            </w:r>
            <w:r>
              <w:rPr>
                <w:sz w:val="20"/>
                <w:szCs w:val="20"/>
                <w:lang w:val="en-US"/>
              </w:rPr>
              <w:t> </w:t>
            </w:r>
            <w:r>
              <w:rPr>
                <w:rFonts w:ascii="Verdana" w:hAnsi="Verdana"/>
                <w:sz w:val="20"/>
                <w:szCs w:val="20"/>
                <w:lang w:val="en-US"/>
              </w:rPr>
              <w:t>304</w:t>
            </w:r>
          </w:p>
        </w:tc>
        <w:tc>
          <w:tcPr>
            <w:tcW w:w="1320" w:type="dxa"/>
            <w:tcBorders>
              <w:top w:val="nil"/>
              <w:left w:val="nil"/>
              <w:bottom w:val="single" w:sz="4" w:space="0" w:color="auto"/>
              <w:right w:val="single" w:sz="4" w:space="0" w:color="auto"/>
            </w:tcBorders>
            <w:noWrap/>
            <w:vAlign w:val="bottom"/>
          </w:tcPr>
          <w:p w:rsidR="00000000" w:rsidRDefault="00D35856">
            <w:pPr>
              <w:spacing w:after="0"/>
              <w:jc w:val="center"/>
              <w:rPr>
                <w:rFonts w:ascii="Verdana" w:hAnsi="Verdana"/>
                <w:sz w:val="20"/>
                <w:szCs w:val="20"/>
                <w:lang w:val="en-US"/>
              </w:rPr>
            </w:pPr>
            <w:r>
              <w:rPr>
                <w:rFonts w:ascii="Verdana" w:hAnsi="Verdana"/>
                <w:sz w:val="20"/>
                <w:szCs w:val="20"/>
                <w:lang w:val="en-US"/>
              </w:rPr>
              <w:t>13</w:t>
            </w:r>
            <w:r>
              <w:rPr>
                <w:sz w:val="20"/>
                <w:szCs w:val="20"/>
                <w:lang w:val="en-US"/>
              </w:rPr>
              <w:t> </w:t>
            </w:r>
            <w:r>
              <w:rPr>
                <w:rFonts w:ascii="Verdana" w:hAnsi="Verdana"/>
                <w:sz w:val="20"/>
                <w:szCs w:val="20"/>
                <w:lang w:val="en-US"/>
              </w:rPr>
              <w:t>820</w:t>
            </w:r>
          </w:p>
        </w:tc>
        <w:tc>
          <w:tcPr>
            <w:tcW w:w="1320" w:type="dxa"/>
            <w:tcBorders>
              <w:top w:val="nil"/>
              <w:left w:val="nil"/>
              <w:bottom w:val="single" w:sz="4" w:space="0" w:color="auto"/>
              <w:right w:val="single" w:sz="4" w:space="0" w:color="auto"/>
            </w:tcBorders>
            <w:noWrap/>
            <w:vAlign w:val="bottom"/>
          </w:tcPr>
          <w:p w:rsidR="00000000" w:rsidRDefault="00D35856">
            <w:pPr>
              <w:spacing w:after="0"/>
              <w:jc w:val="center"/>
              <w:rPr>
                <w:rFonts w:ascii="Verdana" w:hAnsi="Verdana"/>
                <w:sz w:val="20"/>
                <w:szCs w:val="20"/>
                <w:lang w:val="en-US"/>
              </w:rPr>
            </w:pPr>
            <w:r>
              <w:rPr>
                <w:rFonts w:ascii="Verdana" w:hAnsi="Verdana"/>
                <w:sz w:val="20"/>
                <w:szCs w:val="20"/>
                <w:lang w:val="en-US"/>
              </w:rPr>
              <w:t>21</w:t>
            </w:r>
            <w:r>
              <w:rPr>
                <w:sz w:val="20"/>
                <w:szCs w:val="20"/>
                <w:lang w:val="en-US"/>
              </w:rPr>
              <w:t> </w:t>
            </w:r>
            <w:r>
              <w:rPr>
                <w:rFonts w:ascii="Verdana" w:hAnsi="Verdana"/>
                <w:sz w:val="20"/>
                <w:szCs w:val="20"/>
                <w:lang w:val="en-US"/>
              </w:rPr>
              <w:t>289</w:t>
            </w:r>
          </w:p>
        </w:tc>
        <w:tc>
          <w:tcPr>
            <w:tcW w:w="1320" w:type="dxa"/>
            <w:tcBorders>
              <w:top w:val="nil"/>
              <w:left w:val="nil"/>
              <w:bottom w:val="single" w:sz="4" w:space="0" w:color="auto"/>
              <w:right w:val="single" w:sz="4" w:space="0" w:color="auto"/>
            </w:tcBorders>
            <w:noWrap/>
            <w:vAlign w:val="bottom"/>
          </w:tcPr>
          <w:p w:rsidR="00000000" w:rsidRDefault="00D35856">
            <w:pPr>
              <w:spacing w:after="0"/>
              <w:jc w:val="center"/>
              <w:rPr>
                <w:rFonts w:ascii="Verdana" w:hAnsi="Verdana"/>
                <w:sz w:val="20"/>
                <w:szCs w:val="20"/>
                <w:lang w:val="en-US"/>
              </w:rPr>
            </w:pPr>
            <w:r>
              <w:rPr>
                <w:rFonts w:ascii="Verdana" w:hAnsi="Verdana"/>
                <w:sz w:val="20"/>
                <w:szCs w:val="20"/>
                <w:lang w:val="en-US"/>
              </w:rPr>
              <w:t>22</w:t>
            </w:r>
            <w:r>
              <w:rPr>
                <w:sz w:val="20"/>
                <w:szCs w:val="20"/>
                <w:lang w:val="en-US"/>
              </w:rPr>
              <w:t> </w:t>
            </w:r>
            <w:r>
              <w:rPr>
                <w:rFonts w:ascii="Verdana" w:hAnsi="Verdana"/>
                <w:sz w:val="20"/>
                <w:szCs w:val="20"/>
                <w:lang w:val="en-US"/>
              </w:rPr>
              <w:t>718</w:t>
            </w:r>
          </w:p>
        </w:tc>
      </w:tr>
      <w:tr w:rsidR="00000000">
        <w:trPr>
          <w:trHeight w:val="255"/>
        </w:trPr>
        <w:tc>
          <w:tcPr>
            <w:tcW w:w="2640" w:type="dxa"/>
            <w:tcBorders>
              <w:top w:val="nil"/>
              <w:left w:val="single" w:sz="4" w:space="0" w:color="auto"/>
              <w:bottom w:val="single" w:sz="4" w:space="0" w:color="auto"/>
              <w:right w:val="single" w:sz="4" w:space="0" w:color="auto"/>
            </w:tcBorders>
            <w:noWrap/>
            <w:vAlign w:val="bottom"/>
          </w:tcPr>
          <w:p w:rsidR="00000000" w:rsidRDefault="00D35856">
            <w:pPr>
              <w:keepNext w:val="0"/>
              <w:spacing w:after="0"/>
              <w:jc w:val="left"/>
              <w:rPr>
                <w:rFonts w:ascii="Verdana" w:hAnsi="Verdana"/>
                <w:sz w:val="20"/>
                <w:szCs w:val="20"/>
                <w:lang w:val="en-US"/>
              </w:rPr>
            </w:pPr>
            <w:r>
              <w:rPr>
                <w:rFonts w:ascii="Verdana" w:hAnsi="Verdana"/>
                <w:sz w:val="20"/>
                <w:szCs w:val="20"/>
                <w:lang w:val="en-US"/>
              </w:rPr>
              <w:t>Showers</w:t>
            </w:r>
          </w:p>
        </w:tc>
        <w:tc>
          <w:tcPr>
            <w:tcW w:w="1320" w:type="dxa"/>
            <w:tcBorders>
              <w:top w:val="nil"/>
              <w:left w:val="nil"/>
              <w:bottom w:val="single" w:sz="4" w:space="0" w:color="auto"/>
              <w:right w:val="single" w:sz="4" w:space="0" w:color="auto"/>
            </w:tcBorders>
            <w:noWrap/>
            <w:vAlign w:val="bottom"/>
          </w:tcPr>
          <w:p w:rsidR="00000000" w:rsidRDefault="00D35856">
            <w:pPr>
              <w:keepNext w:val="0"/>
              <w:spacing w:after="0"/>
              <w:jc w:val="center"/>
              <w:rPr>
                <w:rFonts w:ascii="Verdana" w:hAnsi="Verdana"/>
                <w:sz w:val="20"/>
                <w:szCs w:val="20"/>
                <w:lang w:val="en-US"/>
              </w:rPr>
            </w:pPr>
            <w:r>
              <w:rPr>
                <w:rFonts w:ascii="Verdana" w:hAnsi="Verdana"/>
                <w:sz w:val="20"/>
                <w:szCs w:val="20"/>
                <w:lang w:val="en-US"/>
              </w:rPr>
              <w:t>850</w:t>
            </w:r>
          </w:p>
        </w:tc>
        <w:tc>
          <w:tcPr>
            <w:tcW w:w="1320" w:type="dxa"/>
            <w:tcBorders>
              <w:top w:val="nil"/>
              <w:left w:val="nil"/>
              <w:bottom w:val="single" w:sz="4" w:space="0" w:color="auto"/>
              <w:right w:val="single" w:sz="4" w:space="0" w:color="auto"/>
            </w:tcBorders>
            <w:noWrap/>
            <w:vAlign w:val="bottom"/>
          </w:tcPr>
          <w:p w:rsidR="00000000" w:rsidRDefault="00D35856">
            <w:pPr>
              <w:keepNext w:val="0"/>
              <w:spacing w:after="0"/>
              <w:jc w:val="center"/>
              <w:rPr>
                <w:rFonts w:ascii="Verdana" w:hAnsi="Verdana"/>
                <w:sz w:val="20"/>
                <w:szCs w:val="20"/>
                <w:lang w:val="en-US"/>
              </w:rPr>
            </w:pPr>
            <w:r>
              <w:rPr>
                <w:rFonts w:ascii="Verdana" w:hAnsi="Verdana"/>
                <w:sz w:val="20"/>
                <w:szCs w:val="20"/>
                <w:lang w:val="en-US"/>
              </w:rPr>
              <w:t>9</w:t>
            </w:r>
            <w:r>
              <w:rPr>
                <w:sz w:val="20"/>
                <w:szCs w:val="20"/>
                <w:lang w:val="en-US"/>
              </w:rPr>
              <w:t> </w:t>
            </w:r>
            <w:r>
              <w:rPr>
                <w:rFonts w:ascii="Verdana" w:hAnsi="Verdana"/>
                <w:sz w:val="20"/>
                <w:szCs w:val="20"/>
                <w:lang w:val="en-US"/>
              </w:rPr>
              <w:t>794</w:t>
            </w:r>
          </w:p>
        </w:tc>
        <w:tc>
          <w:tcPr>
            <w:tcW w:w="1320" w:type="dxa"/>
            <w:tcBorders>
              <w:top w:val="nil"/>
              <w:left w:val="nil"/>
              <w:bottom w:val="single" w:sz="4" w:space="0" w:color="auto"/>
              <w:right w:val="single" w:sz="4" w:space="0" w:color="auto"/>
            </w:tcBorders>
            <w:noWrap/>
            <w:vAlign w:val="bottom"/>
          </w:tcPr>
          <w:p w:rsidR="00000000" w:rsidRDefault="00D35856">
            <w:pPr>
              <w:keepNext w:val="0"/>
              <w:spacing w:after="0"/>
              <w:jc w:val="center"/>
              <w:rPr>
                <w:rFonts w:ascii="Verdana" w:hAnsi="Verdana"/>
                <w:sz w:val="20"/>
                <w:szCs w:val="20"/>
                <w:lang w:val="en-US"/>
              </w:rPr>
            </w:pPr>
            <w:r>
              <w:rPr>
                <w:rFonts w:ascii="Verdana" w:hAnsi="Verdana"/>
                <w:sz w:val="20"/>
                <w:szCs w:val="20"/>
                <w:lang w:val="en-US"/>
              </w:rPr>
              <w:t>22</w:t>
            </w:r>
            <w:r>
              <w:rPr>
                <w:sz w:val="20"/>
                <w:szCs w:val="20"/>
                <w:lang w:val="en-US"/>
              </w:rPr>
              <w:t> </w:t>
            </w:r>
            <w:r>
              <w:rPr>
                <w:rFonts w:ascii="Verdana" w:hAnsi="Verdana"/>
                <w:sz w:val="20"/>
                <w:szCs w:val="20"/>
                <w:lang w:val="en-US"/>
              </w:rPr>
              <w:t>132</w:t>
            </w:r>
          </w:p>
        </w:tc>
        <w:tc>
          <w:tcPr>
            <w:tcW w:w="1320" w:type="dxa"/>
            <w:tcBorders>
              <w:top w:val="nil"/>
              <w:left w:val="nil"/>
              <w:bottom w:val="single" w:sz="4" w:space="0" w:color="auto"/>
              <w:right w:val="single" w:sz="4" w:space="0" w:color="auto"/>
            </w:tcBorders>
            <w:noWrap/>
            <w:vAlign w:val="bottom"/>
          </w:tcPr>
          <w:p w:rsidR="00000000" w:rsidRDefault="00D35856">
            <w:pPr>
              <w:keepNext w:val="0"/>
              <w:spacing w:after="0"/>
              <w:jc w:val="center"/>
              <w:rPr>
                <w:rFonts w:ascii="Verdana" w:hAnsi="Verdana"/>
                <w:sz w:val="20"/>
                <w:szCs w:val="20"/>
                <w:lang w:val="en-US"/>
              </w:rPr>
            </w:pPr>
            <w:r>
              <w:rPr>
                <w:rFonts w:ascii="Verdana" w:hAnsi="Verdana"/>
                <w:sz w:val="20"/>
                <w:szCs w:val="20"/>
                <w:lang w:val="en-US"/>
              </w:rPr>
              <w:t>32</w:t>
            </w:r>
            <w:r>
              <w:rPr>
                <w:sz w:val="20"/>
                <w:szCs w:val="20"/>
                <w:lang w:val="en-US"/>
              </w:rPr>
              <w:t> </w:t>
            </w:r>
            <w:r>
              <w:rPr>
                <w:rFonts w:ascii="Verdana" w:hAnsi="Verdana"/>
                <w:sz w:val="20"/>
                <w:szCs w:val="20"/>
                <w:lang w:val="en-US"/>
              </w:rPr>
              <w:t>572</w:t>
            </w:r>
          </w:p>
        </w:tc>
        <w:tc>
          <w:tcPr>
            <w:tcW w:w="1320" w:type="dxa"/>
            <w:tcBorders>
              <w:top w:val="nil"/>
              <w:left w:val="nil"/>
              <w:bottom w:val="single" w:sz="4" w:space="0" w:color="auto"/>
              <w:right w:val="single" w:sz="4" w:space="0" w:color="auto"/>
            </w:tcBorders>
            <w:noWrap/>
            <w:vAlign w:val="bottom"/>
          </w:tcPr>
          <w:p w:rsidR="00000000" w:rsidRDefault="00D35856">
            <w:pPr>
              <w:keepNext w:val="0"/>
              <w:spacing w:after="0"/>
              <w:jc w:val="center"/>
              <w:rPr>
                <w:rFonts w:ascii="Verdana" w:hAnsi="Verdana"/>
                <w:sz w:val="20"/>
                <w:szCs w:val="20"/>
                <w:lang w:val="en-US"/>
              </w:rPr>
            </w:pPr>
            <w:r>
              <w:rPr>
                <w:rFonts w:ascii="Verdana" w:hAnsi="Verdana"/>
                <w:sz w:val="20"/>
                <w:szCs w:val="20"/>
                <w:lang w:val="en-US"/>
              </w:rPr>
              <w:t>34</w:t>
            </w:r>
            <w:r>
              <w:rPr>
                <w:sz w:val="20"/>
                <w:szCs w:val="20"/>
                <w:lang w:val="en-US"/>
              </w:rPr>
              <w:t> </w:t>
            </w:r>
            <w:r>
              <w:rPr>
                <w:rFonts w:ascii="Verdana" w:hAnsi="Verdana"/>
                <w:sz w:val="20"/>
                <w:szCs w:val="20"/>
                <w:lang w:val="en-US"/>
              </w:rPr>
              <w:t>460</w:t>
            </w:r>
          </w:p>
        </w:tc>
      </w:tr>
      <w:tr w:rsidR="00000000">
        <w:trPr>
          <w:trHeight w:val="255"/>
        </w:trPr>
        <w:tc>
          <w:tcPr>
            <w:tcW w:w="2640" w:type="dxa"/>
            <w:tcBorders>
              <w:top w:val="nil"/>
              <w:left w:val="single" w:sz="4" w:space="0" w:color="auto"/>
              <w:bottom w:val="single" w:sz="4" w:space="0" w:color="auto"/>
              <w:right w:val="single" w:sz="4" w:space="0" w:color="auto"/>
            </w:tcBorders>
            <w:noWrap/>
            <w:vAlign w:val="bottom"/>
          </w:tcPr>
          <w:p w:rsidR="00000000" w:rsidRDefault="00D35856">
            <w:pPr>
              <w:keepNext w:val="0"/>
              <w:spacing w:after="0"/>
              <w:jc w:val="left"/>
              <w:rPr>
                <w:rFonts w:ascii="Verdana" w:hAnsi="Verdana"/>
                <w:sz w:val="20"/>
                <w:szCs w:val="20"/>
                <w:lang w:val="en-US"/>
              </w:rPr>
            </w:pPr>
            <w:r>
              <w:rPr>
                <w:rFonts w:ascii="Verdana" w:hAnsi="Verdana"/>
                <w:sz w:val="20"/>
                <w:szCs w:val="20"/>
                <w:lang w:val="en-US"/>
              </w:rPr>
              <w:t>Taps</w:t>
            </w:r>
          </w:p>
        </w:tc>
        <w:tc>
          <w:tcPr>
            <w:tcW w:w="1320" w:type="dxa"/>
            <w:tcBorders>
              <w:top w:val="nil"/>
              <w:left w:val="nil"/>
              <w:bottom w:val="single" w:sz="4" w:space="0" w:color="auto"/>
              <w:right w:val="single" w:sz="4" w:space="0" w:color="auto"/>
            </w:tcBorders>
            <w:noWrap/>
            <w:vAlign w:val="bottom"/>
          </w:tcPr>
          <w:p w:rsidR="00000000" w:rsidRDefault="00D35856">
            <w:pPr>
              <w:keepNext w:val="0"/>
              <w:spacing w:after="0"/>
              <w:jc w:val="center"/>
              <w:rPr>
                <w:rFonts w:ascii="Verdana" w:hAnsi="Verdana"/>
                <w:sz w:val="20"/>
                <w:szCs w:val="20"/>
                <w:lang w:val="en-US"/>
              </w:rPr>
            </w:pPr>
            <w:r>
              <w:rPr>
                <w:rFonts w:ascii="Verdana" w:hAnsi="Verdana"/>
                <w:sz w:val="20"/>
                <w:szCs w:val="20"/>
                <w:lang w:val="en-US"/>
              </w:rPr>
              <w:t>158</w:t>
            </w:r>
          </w:p>
        </w:tc>
        <w:tc>
          <w:tcPr>
            <w:tcW w:w="1320" w:type="dxa"/>
            <w:tcBorders>
              <w:top w:val="nil"/>
              <w:left w:val="nil"/>
              <w:bottom w:val="single" w:sz="4" w:space="0" w:color="auto"/>
              <w:right w:val="single" w:sz="4" w:space="0" w:color="auto"/>
            </w:tcBorders>
            <w:noWrap/>
            <w:vAlign w:val="bottom"/>
          </w:tcPr>
          <w:p w:rsidR="00000000" w:rsidRDefault="00D35856">
            <w:pPr>
              <w:keepNext w:val="0"/>
              <w:spacing w:after="0"/>
              <w:jc w:val="center"/>
              <w:rPr>
                <w:rFonts w:ascii="Verdana" w:hAnsi="Verdana"/>
                <w:sz w:val="20"/>
                <w:szCs w:val="20"/>
                <w:lang w:val="en-US"/>
              </w:rPr>
            </w:pPr>
            <w:r>
              <w:rPr>
                <w:rFonts w:ascii="Verdana" w:hAnsi="Verdana"/>
                <w:sz w:val="20"/>
                <w:szCs w:val="20"/>
                <w:lang w:val="en-US"/>
              </w:rPr>
              <w:t>813</w:t>
            </w:r>
          </w:p>
        </w:tc>
        <w:tc>
          <w:tcPr>
            <w:tcW w:w="1320" w:type="dxa"/>
            <w:tcBorders>
              <w:top w:val="nil"/>
              <w:left w:val="nil"/>
              <w:bottom w:val="single" w:sz="4" w:space="0" w:color="auto"/>
              <w:right w:val="single" w:sz="4" w:space="0" w:color="auto"/>
            </w:tcBorders>
            <w:noWrap/>
            <w:vAlign w:val="bottom"/>
          </w:tcPr>
          <w:p w:rsidR="00000000" w:rsidRDefault="00D35856">
            <w:pPr>
              <w:keepNext w:val="0"/>
              <w:spacing w:after="0"/>
              <w:jc w:val="center"/>
              <w:rPr>
                <w:rFonts w:ascii="Verdana" w:hAnsi="Verdana"/>
                <w:sz w:val="20"/>
                <w:szCs w:val="20"/>
                <w:lang w:val="en-US"/>
              </w:rPr>
            </w:pPr>
            <w:r>
              <w:rPr>
                <w:rFonts w:ascii="Verdana" w:hAnsi="Verdana"/>
                <w:sz w:val="20"/>
                <w:szCs w:val="20"/>
                <w:lang w:val="en-US"/>
              </w:rPr>
              <w:t>1</w:t>
            </w:r>
            <w:r>
              <w:rPr>
                <w:sz w:val="20"/>
                <w:szCs w:val="20"/>
                <w:lang w:val="en-US"/>
              </w:rPr>
              <w:t> </w:t>
            </w:r>
            <w:r>
              <w:rPr>
                <w:rFonts w:ascii="Verdana" w:hAnsi="Verdana"/>
                <w:sz w:val="20"/>
                <w:szCs w:val="20"/>
                <w:lang w:val="en-US"/>
              </w:rPr>
              <w:t>694</w:t>
            </w:r>
          </w:p>
        </w:tc>
        <w:tc>
          <w:tcPr>
            <w:tcW w:w="1320" w:type="dxa"/>
            <w:tcBorders>
              <w:top w:val="nil"/>
              <w:left w:val="nil"/>
              <w:bottom w:val="single" w:sz="4" w:space="0" w:color="auto"/>
              <w:right w:val="single" w:sz="4" w:space="0" w:color="auto"/>
            </w:tcBorders>
            <w:noWrap/>
            <w:vAlign w:val="bottom"/>
          </w:tcPr>
          <w:p w:rsidR="00000000" w:rsidRDefault="00D35856">
            <w:pPr>
              <w:keepNext w:val="0"/>
              <w:spacing w:after="0"/>
              <w:jc w:val="center"/>
              <w:rPr>
                <w:rFonts w:ascii="Verdana" w:hAnsi="Verdana"/>
                <w:sz w:val="20"/>
                <w:szCs w:val="20"/>
                <w:lang w:val="en-US"/>
              </w:rPr>
            </w:pPr>
            <w:r>
              <w:rPr>
                <w:rFonts w:ascii="Verdana" w:hAnsi="Verdana"/>
                <w:sz w:val="20"/>
                <w:szCs w:val="20"/>
                <w:lang w:val="en-US"/>
              </w:rPr>
              <w:t>2</w:t>
            </w:r>
            <w:r>
              <w:rPr>
                <w:sz w:val="20"/>
                <w:szCs w:val="20"/>
                <w:lang w:val="en-US"/>
              </w:rPr>
              <w:t> </w:t>
            </w:r>
            <w:r>
              <w:rPr>
                <w:rFonts w:ascii="Verdana" w:hAnsi="Verdana"/>
                <w:sz w:val="20"/>
                <w:szCs w:val="20"/>
                <w:lang w:val="en-US"/>
              </w:rPr>
              <w:t>646</w:t>
            </w:r>
          </w:p>
        </w:tc>
        <w:tc>
          <w:tcPr>
            <w:tcW w:w="1320" w:type="dxa"/>
            <w:tcBorders>
              <w:top w:val="nil"/>
              <w:left w:val="nil"/>
              <w:bottom w:val="single" w:sz="4" w:space="0" w:color="auto"/>
              <w:right w:val="single" w:sz="4" w:space="0" w:color="auto"/>
            </w:tcBorders>
            <w:noWrap/>
            <w:vAlign w:val="bottom"/>
          </w:tcPr>
          <w:p w:rsidR="00000000" w:rsidRDefault="00D35856">
            <w:pPr>
              <w:keepNext w:val="0"/>
              <w:spacing w:after="0"/>
              <w:jc w:val="center"/>
              <w:rPr>
                <w:rFonts w:ascii="Verdana" w:hAnsi="Verdana"/>
                <w:sz w:val="20"/>
                <w:szCs w:val="20"/>
                <w:lang w:val="en-US"/>
              </w:rPr>
            </w:pPr>
            <w:r>
              <w:rPr>
                <w:rFonts w:ascii="Verdana" w:hAnsi="Verdana"/>
                <w:sz w:val="20"/>
                <w:szCs w:val="20"/>
                <w:lang w:val="en-US"/>
              </w:rPr>
              <w:t>2</w:t>
            </w:r>
            <w:r>
              <w:rPr>
                <w:sz w:val="20"/>
                <w:szCs w:val="20"/>
                <w:lang w:val="en-US"/>
              </w:rPr>
              <w:t> </w:t>
            </w:r>
            <w:r>
              <w:rPr>
                <w:rFonts w:ascii="Verdana" w:hAnsi="Verdana"/>
                <w:sz w:val="20"/>
                <w:szCs w:val="20"/>
                <w:lang w:val="en-US"/>
              </w:rPr>
              <w:t>845</w:t>
            </w:r>
          </w:p>
        </w:tc>
      </w:tr>
      <w:tr w:rsidR="00000000">
        <w:trPr>
          <w:trHeight w:val="255"/>
        </w:trPr>
        <w:tc>
          <w:tcPr>
            <w:tcW w:w="2640" w:type="dxa"/>
            <w:tcBorders>
              <w:top w:val="nil"/>
              <w:left w:val="single" w:sz="4" w:space="0" w:color="auto"/>
              <w:bottom w:val="single" w:sz="4" w:space="0" w:color="auto"/>
              <w:right w:val="single" w:sz="4" w:space="0" w:color="auto"/>
            </w:tcBorders>
            <w:noWrap/>
            <w:vAlign w:val="bottom"/>
          </w:tcPr>
          <w:p w:rsidR="00000000" w:rsidRDefault="00D35856">
            <w:pPr>
              <w:keepNext w:val="0"/>
              <w:spacing w:after="0"/>
              <w:jc w:val="left"/>
              <w:rPr>
                <w:rFonts w:ascii="Verdana" w:hAnsi="Verdana"/>
                <w:sz w:val="20"/>
                <w:szCs w:val="20"/>
                <w:lang w:val="en-US"/>
              </w:rPr>
            </w:pPr>
            <w:r>
              <w:rPr>
                <w:rFonts w:ascii="Verdana" w:hAnsi="Verdana"/>
                <w:sz w:val="20"/>
                <w:szCs w:val="20"/>
                <w:lang w:val="en-US"/>
              </w:rPr>
              <w:t>Total</w:t>
            </w:r>
          </w:p>
        </w:tc>
        <w:tc>
          <w:tcPr>
            <w:tcW w:w="1320" w:type="dxa"/>
            <w:tcBorders>
              <w:top w:val="nil"/>
              <w:left w:val="nil"/>
              <w:bottom w:val="single" w:sz="4" w:space="0" w:color="auto"/>
              <w:right w:val="single" w:sz="4" w:space="0" w:color="auto"/>
            </w:tcBorders>
            <w:noWrap/>
            <w:vAlign w:val="bottom"/>
          </w:tcPr>
          <w:p w:rsidR="00000000" w:rsidRDefault="00D35856">
            <w:pPr>
              <w:keepNext w:val="0"/>
              <w:spacing w:after="0"/>
              <w:jc w:val="center"/>
              <w:rPr>
                <w:rFonts w:ascii="Verdana" w:hAnsi="Verdana"/>
                <w:sz w:val="20"/>
                <w:szCs w:val="20"/>
                <w:lang w:val="en-US"/>
              </w:rPr>
            </w:pPr>
            <w:r>
              <w:rPr>
                <w:rFonts w:ascii="Verdana" w:hAnsi="Verdana"/>
                <w:sz w:val="20"/>
                <w:szCs w:val="20"/>
                <w:lang w:val="en-US"/>
              </w:rPr>
              <w:t>1</w:t>
            </w:r>
            <w:r>
              <w:rPr>
                <w:sz w:val="20"/>
                <w:szCs w:val="20"/>
                <w:lang w:val="en-US"/>
              </w:rPr>
              <w:t> </w:t>
            </w:r>
            <w:r>
              <w:rPr>
                <w:rFonts w:ascii="Verdana" w:hAnsi="Verdana"/>
                <w:sz w:val="20"/>
                <w:szCs w:val="20"/>
                <w:lang w:val="en-US"/>
              </w:rPr>
              <w:t>457</w:t>
            </w:r>
          </w:p>
        </w:tc>
        <w:tc>
          <w:tcPr>
            <w:tcW w:w="1320" w:type="dxa"/>
            <w:tcBorders>
              <w:top w:val="nil"/>
              <w:left w:val="nil"/>
              <w:bottom w:val="single" w:sz="4" w:space="0" w:color="auto"/>
              <w:right w:val="single" w:sz="4" w:space="0" w:color="auto"/>
            </w:tcBorders>
            <w:noWrap/>
            <w:vAlign w:val="bottom"/>
          </w:tcPr>
          <w:p w:rsidR="00000000" w:rsidRDefault="00D35856">
            <w:pPr>
              <w:keepNext w:val="0"/>
              <w:spacing w:after="0"/>
              <w:jc w:val="center"/>
              <w:rPr>
                <w:rFonts w:ascii="Verdana" w:hAnsi="Verdana"/>
                <w:sz w:val="20"/>
                <w:szCs w:val="20"/>
                <w:lang w:val="en-US"/>
              </w:rPr>
            </w:pPr>
            <w:r>
              <w:rPr>
                <w:rFonts w:ascii="Verdana" w:hAnsi="Verdana"/>
                <w:sz w:val="20"/>
                <w:szCs w:val="20"/>
                <w:lang w:val="en-US"/>
              </w:rPr>
              <w:t>20</w:t>
            </w:r>
            <w:r>
              <w:rPr>
                <w:sz w:val="20"/>
                <w:szCs w:val="20"/>
                <w:lang w:val="en-US"/>
              </w:rPr>
              <w:t> </w:t>
            </w:r>
            <w:r>
              <w:rPr>
                <w:rFonts w:ascii="Verdana" w:hAnsi="Verdana"/>
                <w:sz w:val="20"/>
                <w:szCs w:val="20"/>
                <w:lang w:val="en-US"/>
              </w:rPr>
              <w:t>894</w:t>
            </w:r>
          </w:p>
        </w:tc>
        <w:tc>
          <w:tcPr>
            <w:tcW w:w="1320" w:type="dxa"/>
            <w:tcBorders>
              <w:top w:val="nil"/>
              <w:left w:val="nil"/>
              <w:bottom w:val="single" w:sz="4" w:space="0" w:color="auto"/>
              <w:right w:val="single" w:sz="4" w:space="0" w:color="auto"/>
            </w:tcBorders>
            <w:noWrap/>
            <w:vAlign w:val="bottom"/>
          </w:tcPr>
          <w:p w:rsidR="00000000" w:rsidRDefault="00D35856">
            <w:pPr>
              <w:keepNext w:val="0"/>
              <w:spacing w:after="0"/>
              <w:jc w:val="center"/>
              <w:rPr>
                <w:rFonts w:ascii="Verdana" w:hAnsi="Verdana"/>
                <w:sz w:val="20"/>
                <w:szCs w:val="20"/>
                <w:lang w:val="en-US"/>
              </w:rPr>
            </w:pPr>
            <w:r>
              <w:rPr>
                <w:rFonts w:ascii="Verdana" w:hAnsi="Verdana"/>
                <w:sz w:val="20"/>
                <w:szCs w:val="20"/>
                <w:lang w:val="en-US"/>
              </w:rPr>
              <w:t>56</w:t>
            </w:r>
            <w:r>
              <w:rPr>
                <w:sz w:val="20"/>
                <w:szCs w:val="20"/>
                <w:lang w:val="en-US"/>
              </w:rPr>
              <w:t> </w:t>
            </w:r>
            <w:r>
              <w:rPr>
                <w:rFonts w:ascii="Verdana" w:hAnsi="Verdana"/>
                <w:sz w:val="20"/>
                <w:szCs w:val="20"/>
                <w:lang w:val="en-US"/>
              </w:rPr>
              <w:t>049</w:t>
            </w:r>
          </w:p>
        </w:tc>
        <w:tc>
          <w:tcPr>
            <w:tcW w:w="1320" w:type="dxa"/>
            <w:tcBorders>
              <w:top w:val="nil"/>
              <w:left w:val="nil"/>
              <w:bottom w:val="single" w:sz="4" w:space="0" w:color="auto"/>
              <w:right w:val="single" w:sz="4" w:space="0" w:color="auto"/>
            </w:tcBorders>
            <w:noWrap/>
            <w:vAlign w:val="bottom"/>
          </w:tcPr>
          <w:p w:rsidR="00000000" w:rsidRDefault="00D35856">
            <w:pPr>
              <w:keepNext w:val="0"/>
              <w:spacing w:after="0"/>
              <w:jc w:val="center"/>
              <w:rPr>
                <w:rFonts w:ascii="Verdana" w:hAnsi="Verdana"/>
                <w:sz w:val="20"/>
                <w:szCs w:val="20"/>
                <w:lang w:val="en-US"/>
              </w:rPr>
            </w:pPr>
            <w:r>
              <w:rPr>
                <w:rFonts w:ascii="Verdana" w:hAnsi="Verdana"/>
                <w:sz w:val="20"/>
                <w:szCs w:val="20"/>
                <w:lang w:val="en-US"/>
              </w:rPr>
              <w:t>97</w:t>
            </w:r>
            <w:r>
              <w:rPr>
                <w:sz w:val="20"/>
                <w:szCs w:val="20"/>
                <w:lang w:val="en-US"/>
              </w:rPr>
              <w:t> </w:t>
            </w:r>
            <w:r>
              <w:rPr>
                <w:rFonts w:ascii="Verdana" w:hAnsi="Verdana"/>
                <w:sz w:val="20"/>
                <w:szCs w:val="20"/>
                <w:lang w:val="en-US"/>
              </w:rPr>
              <w:t>729</w:t>
            </w:r>
          </w:p>
        </w:tc>
        <w:tc>
          <w:tcPr>
            <w:tcW w:w="1320" w:type="dxa"/>
            <w:tcBorders>
              <w:top w:val="nil"/>
              <w:left w:val="nil"/>
              <w:bottom w:val="single" w:sz="4" w:space="0" w:color="auto"/>
              <w:right w:val="single" w:sz="4" w:space="0" w:color="auto"/>
            </w:tcBorders>
            <w:noWrap/>
            <w:vAlign w:val="bottom"/>
          </w:tcPr>
          <w:p w:rsidR="00000000" w:rsidRDefault="00D35856">
            <w:pPr>
              <w:keepNext w:val="0"/>
              <w:spacing w:after="0"/>
              <w:jc w:val="center"/>
              <w:rPr>
                <w:rFonts w:ascii="Verdana" w:hAnsi="Verdana"/>
                <w:sz w:val="20"/>
                <w:szCs w:val="20"/>
                <w:lang w:val="en-US"/>
              </w:rPr>
            </w:pPr>
            <w:r>
              <w:rPr>
                <w:rFonts w:ascii="Verdana" w:hAnsi="Verdana"/>
                <w:sz w:val="20"/>
                <w:szCs w:val="20"/>
                <w:lang w:val="en-US"/>
              </w:rPr>
              <w:t>106</w:t>
            </w:r>
            <w:r>
              <w:rPr>
                <w:sz w:val="20"/>
                <w:szCs w:val="20"/>
                <w:lang w:val="en-US"/>
              </w:rPr>
              <w:t> </w:t>
            </w:r>
            <w:r>
              <w:rPr>
                <w:rFonts w:ascii="Verdana" w:hAnsi="Verdana"/>
                <w:sz w:val="20"/>
                <w:szCs w:val="20"/>
                <w:lang w:val="en-US"/>
              </w:rPr>
              <w:t>923</w:t>
            </w:r>
          </w:p>
        </w:tc>
      </w:tr>
    </w:tbl>
    <w:p w:rsidR="00000000" w:rsidRDefault="00D35856">
      <w:pPr>
        <w:keepNext w:val="0"/>
      </w:pPr>
    </w:p>
    <w:p w:rsidR="00000000" w:rsidRDefault="00D35856">
      <w:pPr>
        <w:keepNext w:val="0"/>
      </w:pPr>
    </w:p>
    <w:p w:rsidR="00000000" w:rsidRDefault="00D35856">
      <w:pPr>
        <w:keepNext w:val="0"/>
      </w:pPr>
    </w:p>
    <w:p w:rsidR="00000000" w:rsidRDefault="00D35856">
      <w:pPr>
        <w:keepNext w:val="0"/>
      </w:pPr>
    </w:p>
    <w:p w:rsidR="00000000" w:rsidRDefault="00D35856">
      <w:pPr>
        <w:keepNext w:val="0"/>
      </w:pPr>
    </w:p>
    <w:p w:rsidR="00000000" w:rsidRDefault="00D35856">
      <w:pPr>
        <w:keepNext w:val="0"/>
      </w:pPr>
    </w:p>
    <w:p w:rsidR="00000000" w:rsidRDefault="00D35856">
      <w:pPr>
        <w:keepNext w:val="0"/>
      </w:pPr>
    </w:p>
    <w:p w:rsidR="00000000" w:rsidRDefault="00D35856">
      <w:pPr>
        <w:pStyle w:val="Heading1"/>
        <w:numPr>
          <w:ilvl w:val="0"/>
          <w:numId w:val="3"/>
        </w:numPr>
        <w:tabs>
          <w:tab w:val="clear" w:pos="1152"/>
        </w:tabs>
        <w:ind w:left="567" w:hanging="567"/>
        <w:rPr>
          <w:color w:val="auto"/>
        </w:rPr>
      </w:pPr>
      <w:bookmarkStart w:id="130" w:name="_Ref191422551"/>
      <w:bookmarkStart w:id="131" w:name="_Toc199933744"/>
      <w:r>
        <w:rPr>
          <w:color w:val="auto"/>
        </w:rPr>
        <w:lastRenderedPageBreak/>
        <w:t>Cost and benefits due to WELS</w:t>
      </w:r>
      <w:bookmarkEnd w:id="130"/>
      <w:bookmarkEnd w:id="131"/>
    </w:p>
    <w:p w:rsidR="00000000" w:rsidRDefault="00D35856">
      <w:pPr>
        <w:pStyle w:val="Heading2"/>
        <w:numPr>
          <w:ilvl w:val="1"/>
          <w:numId w:val="3"/>
        </w:numPr>
        <w:tabs>
          <w:tab w:val="clear" w:pos="1296"/>
        </w:tabs>
        <w:ind w:left="567" w:hanging="567"/>
        <w:rPr>
          <w:color w:val="auto"/>
        </w:rPr>
      </w:pPr>
      <w:bookmarkStart w:id="132" w:name="_Toc199933745"/>
      <w:r>
        <w:rPr>
          <w:color w:val="auto"/>
        </w:rPr>
        <w:t xml:space="preserve">Overview </w:t>
      </w:r>
      <w:r>
        <w:rPr>
          <w:rStyle w:val="Heading2Char"/>
          <w:b/>
          <w:smallCaps/>
          <w:color w:val="auto"/>
        </w:rPr>
        <w:t>of methods and data sources</w:t>
      </w:r>
      <w:bookmarkEnd w:id="132"/>
    </w:p>
    <w:p w:rsidR="00000000" w:rsidRDefault="00D35856">
      <w:pPr>
        <w:keepNext w:val="0"/>
        <w:widowControl w:val="0"/>
      </w:pPr>
      <w:r>
        <w:t xml:space="preserve">A range of quantitative and qualitative methods have been applied to measuring the costs and benefits due to </w:t>
      </w:r>
      <w:smartTag w:uri="urn:schemas-microsoft-com:office:smarttags" w:element="City">
        <w:r>
          <w:t>WELS</w:t>
        </w:r>
      </w:smartTag>
      <w:r>
        <w:t>. Most of the quantified impacts in this study have been analysed using market prices and projections of various registration and sales volumes. Where costs have not been possible to quantify, a qualitative discussion on impacts (including distribution</w:t>
      </w:r>
      <w:r>
        <w:t xml:space="preserve"> of impacts) has been included.</w:t>
      </w:r>
    </w:p>
    <w:p w:rsidR="00000000" w:rsidRDefault="00D35856">
      <w:pPr>
        <w:keepNext w:val="0"/>
        <w:widowControl w:val="0"/>
        <w:spacing w:after="120"/>
      </w:pPr>
      <w:r>
        <w:t>Key approaches to measurement include:</w:t>
      </w:r>
    </w:p>
    <w:p w:rsidR="00000000" w:rsidRDefault="00D35856">
      <w:pPr>
        <w:keepNext w:val="0"/>
        <w:widowControl w:val="0"/>
        <w:numPr>
          <w:ilvl w:val="0"/>
          <w:numId w:val="4"/>
        </w:numPr>
        <w:tabs>
          <w:tab w:val="clear" w:pos="720"/>
          <w:tab w:val="num" w:pos="360"/>
        </w:tabs>
        <w:spacing w:after="120"/>
        <w:ind w:left="360"/>
      </w:pPr>
      <w:r>
        <w:t>Interviewing industry stakeholders and DEWHA, to obtain direct estimates of costs.</w:t>
      </w:r>
    </w:p>
    <w:p w:rsidR="00000000" w:rsidRDefault="00D35856">
      <w:pPr>
        <w:keepNext w:val="0"/>
        <w:widowControl w:val="0"/>
        <w:numPr>
          <w:ilvl w:val="0"/>
          <w:numId w:val="4"/>
        </w:numPr>
        <w:tabs>
          <w:tab w:val="clear" w:pos="720"/>
          <w:tab w:val="num" w:pos="360"/>
        </w:tabs>
        <w:spacing w:after="120"/>
        <w:ind w:left="360"/>
      </w:pPr>
      <w:r>
        <w:t xml:space="preserve">Analysis of trends in registrations and sales data, where available. However, as </w:t>
      </w:r>
      <w:smartTag w:uri="urn:schemas-microsoft-com:office:smarttags" w:element="City">
        <w:r>
          <w:t>WELS</w:t>
        </w:r>
      </w:smartTag>
      <w:r>
        <w:t xml:space="preserve"> has </w:t>
      </w:r>
      <w:r>
        <w:t xml:space="preserve">been in operation for less than two years, information on which to base estimates of future trends is limited. </w:t>
      </w:r>
    </w:p>
    <w:p w:rsidR="00000000" w:rsidRDefault="00D35856">
      <w:pPr>
        <w:keepNext w:val="0"/>
        <w:widowControl w:val="0"/>
        <w:numPr>
          <w:ilvl w:val="0"/>
          <w:numId w:val="4"/>
        </w:numPr>
        <w:tabs>
          <w:tab w:val="clear" w:pos="720"/>
          <w:tab w:val="num" w:pos="360"/>
        </w:tabs>
        <w:ind w:left="360"/>
      </w:pPr>
      <w:r>
        <w:t>Price and wage data obtained from various sources including sales data (for washing machines and dishwashers), energy and water retailers, and</w:t>
      </w:r>
      <w:r>
        <w:t xml:space="preserve"> the ABS.</w:t>
      </w:r>
    </w:p>
    <w:p w:rsidR="00000000" w:rsidRDefault="00D35856">
      <w:pPr>
        <w:keepNext w:val="0"/>
      </w:pPr>
      <w:r>
        <w:fldChar w:fldCharType="begin"/>
      </w:r>
      <w:r>
        <w:instrText xml:space="preserve"> REF _Ref195349343 \h </w:instrText>
      </w:r>
      <w:r>
        <w:fldChar w:fldCharType="separate"/>
      </w:r>
      <w:r>
        <w:t xml:space="preserve">Table </w:t>
      </w:r>
      <w:r>
        <w:rPr>
          <w:noProof/>
        </w:rPr>
        <w:t>4</w:t>
      </w:r>
      <w:r>
        <w:noBreakHyphen/>
      </w:r>
      <w:r>
        <w:rPr>
          <w:noProof/>
        </w:rPr>
        <w:t>1</w:t>
      </w:r>
      <w:r>
        <w:fldChar w:fldCharType="end"/>
      </w:r>
      <w:r>
        <w:t xml:space="preserve"> summarises the sources of data and the modelling approaches used to estimate the parameters required to analyse each cost or benefit.</w:t>
      </w:r>
    </w:p>
    <w:p w:rsidR="00000000" w:rsidRDefault="00D35856">
      <w:pPr>
        <w:pStyle w:val="Caption"/>
        <w:keepNext w:val="0"/>
      </w:pPr>
      <w:bookmarkStart w:id="133" w:name="_Ref188068591"/>
      <w:bookmarkStart w:id="134" w:name="_Ref195349187"/>
      <w:r>
        <w:br w:type="page"/>
      </w:r>
      <w:bookmarkStart w:id="135" w:name="_Ref195349343"/>
      <w:bookmarkStart w:id="136" w:name="_Toc199933794"/>
      <w:r>
        <w:lastRenderedPageBreak/>
        <w:t xml:space="preserve">Table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Table \* ARABIC \s 1 </w:instrText>
      </w:r>
      <w:r>
        <w:fldChar w:fldCharType="separate"/>
      </w:r>
      <w:r>
        <w:rPr>
          <w:noProof/>
        </w:rPr>
        <w:t>1</w:t>
      </w:r>
      <w:r>
        <w:fldChar w:fldCharType="end"/>
      </w:r>
      <w:bookmarkEnd w:id="133"/>
      <w:bookmarkEnd w:id="134"/>
      <w:bookmarkEnd w:id="135"/>
      <w:r>
        <w:t>: Data sources used for cost and benefit estimates</w:t>
      </w:r>
      <w:bookmarkEnd w:id="136"/>
    </w:p>
    <w:tbl>
      <w:tblPr>
        <w:tblStyle w:val="TableGrid"/>
        <w:tblW w:w="8755" w:type="dxa"/>
        <w:tblLook w:val="01E0"/>
      </w:tblPr>
      <w:tblGrid>
        <w:gridCol w:w="1526"/>
        <w:gridCol w:w="1843"/>
        <w:gridCol w:w="2268"/>
        <w:gridCol w:w="3118"/>
      </w:tblGrid>
      <w:tr w:rsidR="00000000">
        <w:trPr>
          <w:cantSplit/>
        </w:trPr>
        <w:tc>
          <w:tcPr>
            <w:tcW w:w="1526" w:type="dxa"/>
            <w:vMerge w:val="restart"/>
            <w:shd w:val="clear" w:color="auto" w:fill="CCCCCC"/>
          </w:tcPr>
          <w:p w:rsidR="00000000" w:rsidRDefault="00D35856">
            <w:pPr>
              <w:keepNext w:val="0"/>
              <w:widowControl w:val="0"/>
              <w:spacing w:after="0"/>
              <w:jc w:val="left"/>
              <w:rPr>
                <w:b/>
                <w:sz w:val="20"/>
              </w:rPr>
            </w:pPr>
            <w:r>
              <w:rPr>
                <w:rFonts w:ascii="Arial" w:hAnsi="Arial"/>
                <w:b/>
                <w:sz w:val="20"/>
              </w:rPr>
              <w:t>Cost or benefit</w:t>
            </w:r>
          </w:p>
        </w:tc>
        <w:tc>
          <w:tcPr>
            <w:tcW w:w="1843" w:type="dxa"/>
            <w:vMerge w:val="restart"/>
            <w:shd w:val="clear" w:color="auto" w:fill="CCCCCC"/>
          </w:tcPr>
          <w:p w:rsidR="00000000" w:rsidRDefault="00D35856">
            <w:pPr>
              <w:keepNext w:val="0"/>
              <w:widowControl w:val="0"/>
              <w:spacing w:after="0"/>
              <w:jc w:val="left"/>
              <w:rPr>
                <w:b/>
                <w:sz w:val="20"/>
              </w:rPr>
            </w:pPr>
            <w:r>
              <w:rPr>
                <w:rFonts w:ascii="Arial" w:hAnsi="Arial"/>
                <w:b/>
                <w:sz w:val="20"/>
              </w:rPr>
              <w:t>Parameters required</w:t>
            </w:r>
          </w:p>
        </w:tc>
        <w:tc>
          <w:tcPr>
            <w:tcW w:w="5386" w:type="dxa"/>
            <w:gridSpan w:val="2"/>
            <w:shd w:val="clear" w:color="auto" w:fill="CCCCCC"/>
          </w:tcPr>
          <w:p w:rsidR="00000000" w:rsidRDefault="00D35856">
            <w:pPr>
              <w:keepNext w:val="0"/>
              <w:widowControl w:val="0"/>
              <w:spacing w:after="0"/>
              <w:jc w:val="left"/>
              <w:rPr>
                <w:b/>
                <w:sz w:val="20"/>
              </w:rPr>
            </w:pPr>
            <w:r>
              <w:rPr>
                <w:rFonts w:ascii="Arial" w:hAnsi="Arial"/>
                <w:b/>
                <w:sz w:val="20"/>
              </w:rPr>
              <w:t>Data source or modell</w:t>
            </w:r>
            <w:r>
              <w:rPr>
                <w:rFonts w:ascii="Arial" w:hAnsi="Arial"/>
                <w:b/>
                <w:sz w:val="20"/>
              </w:rPr>
              <w:t>ing approach</w:t>
            </w:r>
          </w:p>
        </w:tc>
      </w:tr>
      <w:tr w:rsidR="00000000">
        <w:trPr>
          <w:cantSplit/>
        </w:trPr>
        <w:tc>
          <w:tcPr>
            <w:tcW w:w="1526" w:type="dxa"/>
            <w:vMerge/>
            <w:shd w:val="clear" w:color="auto" w:fill="CCCCCC"/>
          </w:tcPr>
          <w:p w:rsidR="00000000" w:rsidRDefault="00D35856">
            <w:pPr>
              <w:keepNext w:val="0"/>
              <w:widowControl w:val="0"/>
              <w:spacing w:after="0"/>
              <w:jc w:val="left"/>
              <w:rPr>
                <w:rFonts w:ascii="Arial" w:hAnsi="Arial"/>
              </w:rPr>
            </w:pPr>
          </w:p>
        </w:tc>
        <w:tc>
          <w:tcPr>
            <w:tcW w:w="1843" w:type="dxa"/>
            <w:vMerge/>
            <w:shd w:val="clear" w:color="auto" w:fill="CCCCCC"/>
          </w:tcPr>
          <w:p w:rsidR="00000000" w:rsidRDefault="00D35856">
            <w:pPr>
              <w:keepNext w:val="0"/>
              <w:widowControl w:val="0"/>
              <w:spacing w:after="0"/>
              <w:jc w:val="left"/>
            </w:pPr>
          </w:p>
        </w:tc>
        <w:tc>
          <w:tcPr>
            <w:tcW w:w="2268" w:type="dxa"/>
            <w:shd w:val="clear" w:color="auto" w:fill="CCCCCC"/>
          </w:tcPr>
          <w:p w:rsidR="00000000" w:rsidRDefault="00D35856">
            <w:pPr>
              <w:keepNext w:val="0"/>
              <w:widowControl w:val="0"/>
              <w:spacing w:after="0"/>
              <w:jc w:val="left"/>
            </w:pPr>
            <w:r>
              <w:rPr>
                <w:rFonts w:ascii="Arial" w:hAnsi="Arial"/>
              </w:rPr>
              <w:t xml:space="preserve">Measurement of </w:t>
            </w:r>
            <w:smartTag w:uri="urn:schemas-microsoft-com:office:smarttags" w:element="City">
              <w:r>
                <w:rPr>
                  <w:rFonts w:ascii="Arial" w:hAnsi="Arial"/>
                </w:rPr>
                <w:t>WELS</w:t>
              </w:r>
            </w:smartTag>
            <w:r>
              <w:rPr>
                <w:rFonts w:ascii="Arial" w:hAnsi="Arial"/>
              </w:rPr>
              <w:t xml:space="preserve"> to date</w:t>
            </w:r>
          </w:p>
        </w:tc>
        <w:tc>
          <w:tcPr>
            <w:tcW w:w="3118" w:type="dxa"/>
            <w:shd w:val="clear" w:color="auto" w:fill="CCCCCC"/>
          </w:tcPr>
          <w:p w:rsidR="00000000" w:rsidRDefault="00D35856">
            <w:pPr>
              <w:keepNext w:val="0"/>
              <w:widowControl w:val="0"/>
              <w:spacing w:after="0"/>
              <w:jc w:val="left"/>
            </w:pPr>
            <w:r>
              <w:rPr>
                <w:rFonts w:ascii="Arial" w:hAnsi="Arial"/>
              </w:rPr>
              <w:t>Estimations / projections</w:t>
            </w:r>
          </w:p>
        </w:tc>
      </w:tr>
      <w:tr w:rsidR="00000000">
        <w:trPr>
          <w:cantSplit/>
        </w:trPr>
        <w:tc>
          <w:tcPr>
            <w:tcW w:w="1526" w:type="dxa"/>
            <w:tcBorders>
              <w:right w:val="single" w:sz="4" w:space="0" w:color="C0C0C0"/>
            </w:tcBorders>
          </w:tcPr>
          <w:p w:rsidR="00000000" w:rsidRDefault="00D35856">
            <w:pPr>
              <w:keepNext w:val="0"/>
              <w:widowControl w:val="0"/>
              <w:spacing w:after="0"/>
              <w:jc w:val="left"/>
              <w:rPr>
                <w:b/>
                <w:i/>
                <w:sz w:val="18"/>
              </w:rPr>
            </w:pPr>
            <w:smartTag w:uri="urn:schemas-microsoft-com:office:smarttags" w:element="City">
              <w:r>
                <w:rPr>
                  <w:rFonts w:ascii="Arial" w:hAnsi="Arial"/>
                  <w:b/>
                  <w:i/>
                  <w:sz w:val="18"/>
                </w:rPr>
                <w:t>WELS</w:t>
              </w:r>
            </w:smartTag>
            <w:r>
              <w:rPr>
                <w:rFonts w:ascii="Arial" w:hAnsi="Arial"/>
                <w:b/>
                <w:i/>
                <w:sz w:val="18"/>
              </w:rPr>
              <w:t xml:space="preserve"> administration costs</w:t>
            </w:r>
          </w:p>
        </w:tc>
        <w:tc>
          <w:tcPr>
            <w:tcW w:w="1843" w:type="dxa"/>
            <w:tcBorders>
              <w:left w:val="single" w:sz="4" w:space="0" w:color="C0C0C0"/>
              <w:right w:val="single" w:sz="4" w:space="0" w:color="C0C0C0"/>
            </w:tcBorders>
          </w:tcPr>
          <w:p w:rsidR="00000000" w:rsidRDefault="00D35856">
            <w:pPr>
              <w:keepNext w:val="0"/>
              <w:widowControl w:val="0"/>
              <w:spacing w:after="0"/>
              <w:jc w:val="left"/>
              <w:rPr>
                <w:sz w:val="18"/>
              </w:rPr>
            </w:pPr>
            <w:r>
              <w:rPr>
                <w:rFonts w:ascii="Arial" w:hAnsi="Arial"/>
                <w:sz w:val="18"/>
              </w:rPr>
              <w:t>Costs</w:t>
            </w:r>
          </w:p>
        </w:tc>
        <w:tc>
          <w:tcPr>
            <w:tcW w:w="2268" w:type="dxa"/>
            <w:tcBorders>
              <w:left w:val="single" w:sz="4" w:space="0" w:color="C0C0C0"/>
              <w:righ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sz w:val="18"/>
              </w:rPr>
            </w:pPr>
            <w:r>
              <w:rPr>
                <w:rFonts w:ascii="Arial" w:hAnsi="Arial"/>
                <w:sz w:val="18"/>
              </w:rPr>
              <w:t>Supplied by DEWHA</w:t>
            </w:r>
          </w:p>
        </w:tc>
        <w:tc>
          <w:tcPr>
            <w:tcW w:w="3118" w:type="dxa"/>
            <w:tcBorders>
              <w:lef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sz w:val="18"/>
              </w:rPr>
            </w:pPr>
            <w:r>
              <w:rPr>
                <w:rFonts w:ascii="Arial" w:hAnsi="Arial"/>
                <w:sz w:val="18"/>
              </w:rPr>
              <w:t>Supplied by DEWHA</w:t>
            </w:r>
          </w:p>
        </w:tc>
      </w:tr>
      <w:tr w:rsidR="00000000">
        <w:trPr>
          <w:cantSplit/>
        </w:trPr>
        <w:tc>
          <w:tcPr>
            <w:tcW w:w="1526" w:type="dxa"/>
            <w:vMerge w:val="restart"/>
            <w:tcBorders>
              <w:right w:val="single" w:sz="4" w:space="0" w:color="C0C0C0"/>
            </w:tcBorders>
          </w:tcPr>
          <w:p w:rsidR="00000000" w:rsidRDefault="00D35856">
            <w:pPr>
              <w:keepNext w:val="0"/>
              <w:widowControl w:val="0"/>
              <w:spacing w:after="0"/>
              <w:jc w:val="left"/>
              <w:rPr>
                <w:b/>
                <w:i/>
                <w:sz w:val="18"/>
              </w:rPr>
            </w:pPr>
            <w:smartTag w:uri="urn:schemas-microsoft-com:office:smarttags" w:element="City">
              <w:r>
                <w:rPr>
                  <w:rFonts w:ascii="Arial" w:hAnsi="Arial"/>
                  <w:b/>
                  <w:i/>
                  <w:sz w:val="18"/>
                </w:rPr>
                <w:t>WELS</w:t>
              </w:r>
            </w:smartTag>
            <w:r>
              <w:rPr>
                <w:rFonts w:ascii="Arial" w:hAnsi="Arial"/>
                <w:b/>
                <w:i/>
                <w:sz w:val="18"/>
              </w:rPr>
              <w:t xml:space="preserve"> registration fees</w:t>
            </w:r>
          </w:p>
        </w:tc>
        <w:tc>
          <w:tcPr>
            <w:tcW w:w="1843" w:type="dxa"/>
            <w:tcBorders>
              <w:left w:val="single" w:sz="4" w:space="0" w:color="C0C0C0"/>
              <w:right w:val="single" w:sz="4" w:space="0" w:color="C0C0C0"/>
            </w:tcBorders>
          </w:tcPr>
          <w:p w:rsidR="00000000" w:rsidRDefault="00D35856">
            <w:pPr>
              <w:keepNext w:val="0"/>
              <w:widowControl w:val="0"/>
              <w:spacing w:after="0"/>
              <w:jc w:val="left"/>
              <w:rPr>
                <w:sz w:val="18"/>
              </w:rPr>
            </w:pPr>
            <w:r>
              <w:rPr>
                <w:rFonts w:ascii="Arial" w:hAnsi="Arial"/>
                <w:sz w:val="18"/>
              </w:rPr>
              <w:t>Registration fee amount</w:t>
            </w:r>
          </w:p>
        </w:tc>
        <w:tc>
          <w:tcPr>
            <w:tcW w:w="2268" w:type="dxa"/>
            <w:tcBorders>
              <w:left w:val="single" w:sz="4" w:space="0" w:color="C0C0C0"/>
              <w:righ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sz w:val="18"/>
              </w:rPr>
            </w:pPr>
            <w:r>
              <w:rPr>
                <w:rFonts w:ascii="Arial" w:hAnsi="Arial"/>
                <w:sz w:val="18"/>
              </w:rPr>
              <w:t>$1500 / model family</w:t>
            </w:r>
          </w:p>
        </w:tc>
        <w:tc>
          <w:tcPr>
            <w:tcW w:w="3118" w:type="dxa"/>
            <w:tcBorders>
              <w:lef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sz w:val="18"/>
              </w:rPr>
            </w:pPr>
            <w:r>
              <w:rPr>
                <w:rFonts w:ascii="Arial" w:hAnsi="Arial"/>
                <w:sz w:val="18"/>
              </w:rPr>
              <w:t>Assume fixed in real terms</w:t>
            </w:r>
          </w:p>
        </w:tc>
      </w:tr>
      <w:tr w:rsidR="00000000">
        <w:trPr>
          <w:cantSplit/>
        </w:trPr>
        <w:tc>
          <w:tcPr>
            <w:tcW w:w="1526" w:type="dxa"/>
            <w:vMerge/>
            <w:tcBorders>
              <w:right w:val="single" w:sz="4" w:space="0" w:color="C0C0C0"/>
            </w:tcBorders>
          </w:tcPr>
          <w:p w:rsidR="00000000" w:rsidRDefault="00D35856">
            <w:pPr>
              <w:keepNext w:val="0"/>
              <w:widowControl w:val="0"/>
              <w:spacing w:after="0"/>
              <w:jc w:val="left"/>
              <w:rPr>
                <w:rFonts w:ascii="Arial" w:hAnsi="Arial"/>
                <w:b/>
                <w:i/>
                <w:sz w:val="18"/>
              </w:rPr>
            </w:pPr>
          </w:p>
        </w:tc>
        <w:tc>
          <w:tcPr>
            <w:tcW w:w="1843" w:type="dxa"/>
            <w:tcBorders>
              <w:left w:val="single" w:sz="4" w:space="0" w:color="C0C0C0"/>
              <w:right w:val="single" w:sz="4" w:space="0" w:color="C0C0C0"/>
            </w:tcBorders>
          </w:tcPr>
          <w:p w:rsidR="00000000" w:rsidRDefault="00D35856">
            <w:pPr>
              <w:keepNext w:val="0"/>
              <w:widowControl w:val="0"/>
              <w:spacing w:after="0"/>
              <w:jc w:val="left"/>
              <w:rPr>
                <w:rFonts w:ascii="Arial" w:hAnsi="Arial"/>
                <w:sz w:val="18"/>
              </w:rPr>
            </w:pPr>
            <w:r>
              <w:rPr>
                <w:rFonts w:ascii="Arial" w:hAnsi="Arial"/>
                <w:sz w:val="18"/>
              </w:rPr>
              <w:t>Registrations of models, families, and model additions</w:t>
            </w:r>
          </w:p>
        </w:tc>
        <w:tc>
          <w:tcPr>
            <w:tcW w:w="2268" w:type="dxa"/>
            <w:tcBorders>
              <w:left w:val="single" w:sz="4" w:space="0" w:color="C0C0C0"/>
              <w:righ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rFonts w:ascii="Arial" w:hAnsi="Arial"/>
                <w:sz w:val="18"/>
              </w:rPr>
            </w:pPr>
            <w:smartTag w:uri="urn:schemas-microsoft-com:office:smarttags" w:element="City">
              <w:r>
                <w:rPr>
                  <w:rFonts w:ascii="Arial" w:hAnsi="Arial"/>
                  <w:sz w:val="18"/>
                </w:rPr>
                <w:t>WELS</w:t>
              </w:r>
            </w:smartTag>
            <w:r>
              <w:rPr>
                <w:rFonts w:ascii="Arial" w:hAnsi="Arial"/>
                <w:sz w:val="18"/>
              </w:rPr>
              <w:t xml:space="preserve"> registration database</w:t>
            </w:r>
          </w:p>
        </w:tc>
        <w:tc>
          <w:tcPr>
            <w:tcW w:w="3118" w:type="dxa"/>
            <w:tcBorders>
              <w:lef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rFonts w:ascii="Arial" w:hAnsi="Arial"/>
                <w:sz w:val="18"/>
              </w:rPr>
            </w:pPr>
            <w:r>
              <w:rPr>
                <w:rFonts w:ascii="Arial" w:hAnsi="Arial"/>
                <w:sz w:val="18"/>
              </w:rPr>
              <w:t xml:space="preserve">Trends in </w:t>
            </w:r>
            <w:smartTag w:uri="urn:schemas-microsoft-com:office:smarttags" w:element="City">
              <w:r>
                <w:rPr>
                  <w:rFonts w:ascii="Arial" w:hAnsi="Arial"/>
                  <w:sz w:val="18"/>
                </w:rPr>
                <w:t>WELS</w:t>
              </w:r>
            </w:smartTag>
            <w:r>
              <w:rPr>
                <w:rFonts w:ascii="Arial" w:hAnsi="Arial"/>
                <w:sz w:val="18"/>
              </w:rPr>
              <w:t xml:space="preserve"> registration databases and </w:t>
            </w:r>
            <w:smartTag w:uri="urn:schemas-microsoft-com:office:smarttags" w:element="City">
              <w:r>
                <w:rPr>
                  <w:rFonts w:ascii="Arial" w:hAnsi="Arial"/>
                  <w:sz w:val="18"/>
                </w:rPr>
                <w:t>WELS</w:t>
              </w:r>
            </w:smartTag>
            <w:r>
              <w:rPr>
                <w:rFonts w:ascii="Arial" w:hAnsi="Arial"/>
                <w:sz w:val="18"/>
              </w:rPr>
              <w:t xml:space="preserve"> registration tracking spreadsheets</w:t>
            </w:r>
          </w:p>
          <w:p w:rsidR="00000000" w:rsidRDefault="00D35856">
            <w:pPr>
              <w:keepNext w:val="0"/>
              <w:widowControl w:val="0"/>
              <w:numPr>
                <w:ilvl w:val="0"/>
                <w:numId w:val="5"/>
              </w:numPr>
              <w:tabs>
                <w:tab w:val="clear" w:pos="720"/>
                <w:tab w:val="num" w:pos="150"/>
              </w:tabs>
              <w:spacing w:after="0"/>
              <w:ind w:left="150" w:hanging="142"/>
              <w:jc w:val="left"/>
              <w:rPr>
                <w:rFonts w:ascii="Arial" w:hAnsi="Arial"/>
                <w:sz w:val="18"/>
              </w:rPr>
            </w:pPr>
            <w:smartTag w:uri="urn:schemas-microsoft-com:office:smarttags" w:element="City">
              <w:r>
                <w:rPr>
                  <w:rFonts w:ascii="Arial" w:hAnsi="Arial"/>
                  <w:sz w:val="18"/>
                </w:rPr>
                <w:t>WELS</w:t>
              </w:r>
            </w:smartTag>
            <w:r>
              <w:rPr>
                <w:rFonts w:ascii="Arial" w:hAnsi="Arial"/>
                <w:sz w:val="18"/>
              </w:rPr>
              <w:t xml:space="preserve"> RIS</w:t>
            </w:r>
          </w:p>
          <w:p w:rsidR="00000000" w:rsidRDefault="00D35856">
            <w:pPr>
              <w:keepNext w:val="0"/>
              <w:widowControl w:val="0"/>
              <w:numPr>
                <w:ilvl w:val="0"/>
                <w:numId w:val="5"/>
              </w:numPr>
              <w:tabs>
                <w:tab w:val="clear" w:pos="720"/>
                <w:tab w:val="num" w:pos="150"/>
              </w:tabs>
              <w:spacing w:after="0"/>
              <w:ind w:left="150" w:hanging="142"/>
              <w:jc w:val="left"/>
              <w:rPr>
                <w:rFonts w:ascii="Arial" w:hAnsi="Arial"/>
                <w:sz w:val="18"/>
              </w:rPr>
            </w:pPr>
            <w:r>
              <w:rPr>
                <w:rFonts w:ascii="Arial" w:hAnsi="Arial"/>
                <w:sz w:val="18"/>
              </w:rPr>
              <w:t>Informal interviews</w:t>
            </w:r>
          </w:p>
        </w:tc>
      </w:tr>
      <w:tr w:rsidR="00000000">
        <w:trPr>
          <w:cantSplit/>
        </w:trPr>
        <w:tc>
          <w:tcPr>
            <w:tcW w:w="1526" w:type="dxa"/>
            <w:vMerge w:val="restart"/>
            <w:tcBorders>
              <w:right w:val="single" w:sz="4" w:space="0" w:color="C0C0C0"/>
            </w:tcBorders>
          </w:tcPr>
          <w:p w:rsidR="00000000" w:rsidRDefault="00D35856">
            <w:pPr>
              <w:keepNext w:val="0"/>
              <w:widowControl w:val="0"/>
              <w:spacing w:after="0"/>
              <w:jc w:val="left"/>
              <w:rPr>
                <w:b/>
                <w:i/>
                <w:sz w:val="18"/>
              </w:rPr>
            </w:pPr>
            <w:r>
              <w:rPr>
                <w:rFonts w:ascii="Arial" w:hAnsi="Arial"/>
                <w:b/>
                <w:i/>
                <w:sz w:val="18"/>
              </w:rPr>
              <w:t>Other registration costs</w:t>
            </w:r>
          </w:p>
        </w:tc>
        <w:tc>
          <w:tcPr>
            <w:tcW w:w="1843" w:type="dxa"/>
            <w:tcBorders>
              <w:left w:val="single" w:sz="4" w:space="0" w:color="C0C0C0"/>
              <w:right w:val="single" w:sz="4" w:space="0" w:color="C0C0C0"/>
            </w:tcBorders>
          </w:tcPr>
          <w:p w:rsidR="00000000" w:rsidRDefault="00D35856">
            <w:pPr>
              <w:keepNext w:val="0"/>
              <w:widowControl w:val="0"/>
              <w:spacing w:after="0"/>
              <w:jc w:val="left"/>
              <w:rPr>
                <w:sz w:val="18"/>
              </w:rPr>
            </w:pPr>
            <w:r>
              <w:rPr>
                <w:rFonts w:ascii="Arial" w:hAnsi="Arial"/>
                <w:sz w:val="18"/>
              </w:rPr>
              <w:t>Time taken to fill in registration form</w:t>
            </w:r>
          </w:p>
        </w:tc>
        <w:tc>
          <w:tcPr>
            <w:tcW w:w="2268" w:type="dxa"/>
            <w:tcBorders>
              <w:left w:val="single" w:sz="4" w:space="0" w:color="C0C0C0"/>
              <w:righ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sz w:val="18"/>
              </w:rPr>
            </w:pPr>
            <w:r>
              <w:rPr>
                <w:rFonts w:ascii="Arial" w:hAnsi="Arial"/>
                <w:sz w:val="18"/>
              </w:rPr>
              <w:t xml:space="preserve">Data from </w:t>
            </w:r>
            <w:smartTag w:uri="urn:schemas-microsoft-com:office:smarttags" w:element="City">
              <w:r>
                <w:rPr>
                  <w:rFonts w:ascii="Arial" w:hAnsi="Arial"/>
                  <w:sz w:val="18"/>
                </w:rPr>
                <w:t>WELS</w:t>
              </w:r>
            </w:smartTag>
            <w:r>
              <w:rPr>
                <w:rFonts w:ascii="Arial" w:hAnsi="Arial"/>
                <w:sz w:val="18"/>
              </w:rPr>
              <w:t xml:space="preserve"> registration database, informal interviews (qualitative)</w:t>
            </w:r>
          </w:p>
        </w:tc>
        <w:tc>
          <w:tcPr>
            <w:tcW w:w="3118" w:type="dxa"/>
            <w:tcBorders>
              <w:lef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rFonts w:ascii="Arial" w:hAnsi="Arial"/>
                <w:sz w:val="18"/>
              </w:rPr>
            </w:pPr>
            <w:r>
              <w:rPr>
                <w:rFonts w:ascii="Arial" w:hAnsi="Arial"/>
                <w:sz w:val="18"/>
              </w:rPr>
              <w:t>Examine trends</w:t>
            </w:r>
          </w:p>
          <w:p w:rsidR="00000000" w:rsidRDefault="00D35856">
            <w:pPr>
              <w:keepNext w:val="0"/>
              <w:widowControl w:val="0"/>
              <w:numPr>
                <w:ilvl w:val="0"/>
                <w:numId w:val="5"/>
              </w:numPr>
              <w:tabs>
                <w:tab w:val="clear" w:pos="720"/>
                <w:tab w:val="num" w:pos="150"/>
              </w:tabs>
              <w:spacing w:after="0"/>
              <w:ind w:left="150" w:hanging="142"/>
              <w:jc w:val="left"/>
              <w:rPr>
                <w:sz w:val="18"/>
              </w:rPr>
            </w:pPr>
            <w:r>
              <w:rPr>
                <w:rFonts w:ascii="Arial" w:hAnsi="Arial"/>
                <w:sz w:val="18"/>
              </w:rPr>
              <w:t>Assume improves over time</w:t>
            </w:r>
          </w:p>
        </w:tc>
      </w:tr>
      <w:tr w:rsidR="00000000">
        <w:trPr>
          <w:cantSplit/>
        </w:trPr>
        <w:tc>
          <w:tcPr>
            <w:tcW w:w="1526" w:type="dxa"/>
            <w:vMerge/>
            <w:tcBorders>
              <w:right w:val="single" w:sz="4" w:space="0" w:color="C0C0C0"/>
            </w:tcBorders>
          </w:tcPr>
          <w:p w:rsidR="00000000" w:rsidRDefault="00D35856">
            <w:pPr>
              <w:keepNext w:val="0"/>
              <w:widowControl w:val="0"/>
              <w:spacing w:after="0"/>
              <w:jc w:val="left"/>
              <w:rPr>
                <w:rFonts w:ascii="Arial" w:hAnsi="Arial"/>
                <w:b/>
                <w:i/>
                <w:sz w:val="18"/>
              </w:rPr>
            </w:pPr>
          </w:p>
        </w:tc>
        <w:tc>
          <w:tcPr>
            <w:tcW w:w="1843" w:type="dxa"/>
            <w:tcBorders>
              <w:left w:val="single" w:sz="4" w:space="0" w:color="C0C0C0"/>
              <w:right w:val="single" w:sz="4" w:space="0" w:color="C0C0C0"/>
            </w:tcBorders>
          </w:tcPr>
          <w:p w:rsidR="00000000" w:rsidRDefault="00D35856">
            <w:pPr>
              <w:keepNext w:val="0"/>
              <w:widowControl w:val="0"/>
              <w:spacing w:after="0"/>
              <w:jc w:val="left"/>
              <w:rPr>
                <w:rFonts w:ascii="Arial" w:hAnsi="Arial"/>
                <w:sz w:val="18"/>
              </w:rPr>
            </w:pPr>
            <w:r>
              <w:rPr>
                <w:rFonts w:ascii="Arial" w:hAnsi="Arial"/>
                <w:sz w:val="18"/>
              </w:rPr>
              <w:t>Proportion of applications requiring returning</w:t>
            </w:r>
          </w:p>
          <w:p w:rsidR="00000000" w:rsidRDefault="00D35856">
            <w:pPr>
              <w:keepNext w:val="0"/>
              <w:widowControl w:val="0"/>
              <w:spacing w:after="0"/>
              <w:jc w:val="left"/>
              <w:rPr>
                <w:rFonts w:ascii="Arial" w:hAnsi="Arial"/>
                <w:sz w:val="18"/>
              </w:rPr>
            </w:pPr>
          </w:p>
        </w:tc>
        <w:tc>
          <w:tcPr>
            <w:tcW w:w="2268" w:type="dxa"/>
            <w:tcBorders>
              <w:left w:val="single" w:sz="4" w:space="0" w:color="C0C0C0"/>
              <w:righ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sz w:val="18"/>
              </w:rPr>
            </w:pPr>
            <w:r>
              <w:rPr>
                <w:rFonts w:ascii="Arial" w:hAnsi="Arial"/>
                <w:sz w:val="18"/>
              </w:rPr>
              <w:t xml:space="preserve">Data from </w:t>
            </w:r>
            <w:smartTag w:uri="urn:schemas-microsoft-com:office:smarttags" w:element="City">
              <w:r>
                <w:rPr>
                  <w:rFonts w:ascii="Arial" w:hAnsi="Arial"/>
                  <w:sz w:val="18"/>
                </w:rPr>
                <w:t>WELS</w:t>
              </w:r>
            </w:smartTag>
            <w:r>
              <w:rPr>
                <w:rFonts w:ascii="Arial" w:hAnsi="Arial"/>
                <w:sz w:val="18"/>
              </w:rPr>
              <w:t xml:space="preserve"> registration database, informal interviews (qualitative)</w:t>
            </w:r>
          </w:p>
        </w:tc>
        <w:tc>
          <w:tcPr>
            <w:tcW w:w="3118" w:type="dxa"/>
            <w:tcBorders>
              <w:lef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rFonts w:ascii="Arial" w:hAnsi="Arial"/>
                <w:sz w:val="18"/>
              </w:rPr>
            </w:pPr>
            <w:r>
              <w:rPr>
                <w:rFonts w:ascii="Arial" w:hAnsi="Arial"/>
                <w:sz w:val="18"/>
              </w:rPr>
              <w:t>Examine trends</w:t>
            </w:r>
          </w:p>
          <w:p w:rsidR="00000000" w:rsidRDefault="00D35856">
            <w:pPr>
              <w:keepNext w:val="0"/>
              <w:widowControl w:val="0"/>
              <w:numPr>
                <w:ilvl w:val="0"/>
                <w:numId w:val="5"/>
              </w:numPr>
              <w:tabs>
                <w:tab w:val="clear" w:pos="720"/>
                <w:tab w:val="num" w:pos="150"/>
              </w:tabs>
              <w:spacing w:after="0"/>
              <w:ind w:left="150" w:hanging="142"/>
              <w:jc w:val="left"/>
              <w:rPr>
                <w:sz w:val="18"/>
              </w:rPr>
            </w:pPr>
            <w:r>
              <w:rPr>
                <w:rFonts w:ascii="Arial" w:hAnsi="Arial"/>
                <w:sz w:val="18"/>
              </w:rPr>
              <w:t xml:space="preserve">Assume improves over time </w:t>
            </w:r>
          </w:p>
        </w:tc>
      </w:tr>
      <w:tr w:rsidR="00000000">
        <w:trPr>
          <w:cantSplit/>
        </w:trPr>
        <w:tc>
          <w:tcPr>
            <w:tcW w:w="1526" w:type="dxa"/>
            <w:vMerge/>
            <w:tcBorders>
              <w:right w:val="single" w:sz="4" w:space="0" w:color="C0C0C0"/>
            </w:tcBorders>
          </w:tcPr>
          <w:p w:rsidR="00000000" w:rsidRDefault="00D35856">
            <w:pPr>
              <w:keepNext w:val="0"/>
              <w:widowControl w:val="0"/>
              <w:spacing w:after="0"/>
              <w:jc w:val="left"/>
              <w:rPr>
                <w:rFonts w:ascii="Arial" w:hAnsi="Arial"/>
                <w:b/>
                <w:i/>
                <w:sz w:val="18"/>
              </w:rPr>
            </w:pPr>
          </w:p>
        </w:tc>
        <w:tc>
          <w:tcPr>
            <w:tcW w:w="1843" w:type="dxa"/>
            <w:tcBorders>
              <w:left w:val="single" w:sz="4" w:space="0" w:color="C0C0C0"/>
              <w:right w:val="single" w:sz="4" w:space="0" w:color="C0C0C0"/>
            </w:tcBorders>
          </w:tcPr>
          <w:p w:rsidR="00000000" w:rsidRDefault="00D35856">
            <w:pPr>
              <w:keepNext w:val="0"/>
              <w:widowControl w:val="0"/>
              <w:spacing w:after="0"/>
              <w:jc w:val="left"/>
              <w:rPr>
                <w:sz w:val="18"/>
              </w:rPr>
            </w:pPr>
            <w:r>
              <w:rPr>
                <w:rFonts w:ascii="Arial" w:hAnsi="Arial"/>
                <w:sz w:val="18"/>
              </w:rPr>
              <w:t>Other impacts due to timing and duration of application process</w:t>
            </w:r>
          </w:p>
        </w:tc>
        <w:tc>
          <w:tcPr>
            <w:tcW w:w="2268" w:type="dxa"/>
            <w:tcBorders>
              <w:left w:val="single" w:sz="4" w:space="0" w:color="C0C0C0"/>
              <w:righ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sz w:val="18"/>
              </w:rPr>
            </w:pPr>
            <w:r>
              <w:rPr>
                <w:rFonts w:ascii="Arial" w:hAnsi="Arial"/>
                <w:sz w:val="18"/>
              </w:rPr>
              <w:t>Informal interviews with stakeholders (qualitative)</w:t>
            </w:r>
          </w:p>
        </w:tc>
        <w:tc>
          <w:tcPr>
            <w:tcW w:w="3118" w:type="dxa"/>
            <w:tcBorders>
              <w:lef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sz w:val="18"/>
              </w:rPr>
            </w:pPr>
            <w:r>
              <w:rPr>
                <w:rFonts w:ascii="Arial" w:hAnsi="Arial"/>
                <w:sz w:val="18"/>
              </w:rPr>
              <w:t>N/A</w:t>
            </w:r>
          </w:p>
        </w:tc>
      </w:tr>
      <w:tr w:rsidR="00000000">
        <w:trPr>
          <w:cantSplit/>
        </w:trPr>
        <w:tc>
          <w:tcPr>
            <w:tcW w:w="1526" w:type="dxa"/>
            <w:vMerge/>
            <w:tcBorders>
              <w:right w:val="single" w:sz="4" w:space="0" w:color="C0C0C0"/>
            </w:tcBorders>
          </w:tcPr>
          <w:p w:rsidR="00000000" w:rsidRDefault="00D35856">
            <w:pPr>
              <w:keepNext w:val="0"/>
              <w:widowControl w:val="0"/>
              <w:spacing w:after="0"/>
              <w:jc w:val="left"/>
              <w:rPr>
                <w:rFonts w:ascii="Arial" w:hAnsi="Arial"/>
                <w:b/>
                <w:i/>
                <w:sz w:val="18"/>
              </w:rPr>
            </w:pPr>
          </w:p>
        </w:tc>
        <w:tc>
          <w:tcPr>
            <w:tcW w:w="1843" w:type="dxa"/>
            <w:tcBorders>
              <w:left w:val="single" w:sz="4" w:space="0" w:color="C0C0C0"/>
              <w:right w:val="single" w:sz="4" w:space="0" w:color="C0C0C0"/>
            </w:tcBorders>
          </w:tcPr>
          <w:p w:rsidR="00000000" w:rsidRDefault="00D35856">
            <w:pPr>
              <w:keepNext w:val="0"/>
              <w:widowControl w:val="0"/>
              <w:spacing w:after="0"/>
              <w:jc w:val="left"/>
              <w:rPr>
                <w:sz w:val="18"/>
              </w:rPr>
            </w:pPr>
            <w:r>
              <w:rPr>
                <w:rFonts w:ascii="Arial" w:hAnsi="Arial"/>
                <w:sz w:val="18"/>
              </w:rPr>
              <w:t>Staff and overhead rates</w:t>
            </w:r>
          </w:p>
        </w:tc>
        <w:tc>
          <w:tcPr>
            <w:tcW w:w="2268" w:type="dxa"/>
            <w:tcBorders>
              <w:left w:val="single" w:sz="4" w:space="0" w:color="C0C0C0"/>
              <w:righ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rFonts w:ascii="Arial" w:hAnsi="Arial" w:cs="Arial"/>
                <w:sz w:val="18"/>
              </w:rPr>
            </w:pPr>
            <w:r>
              <w:rPr>
                <w:rFonts w:ascii="Arial" w:hAnsi="Arial" w:cs="Arial"/>
                <w:sz w:val="18"/>
              </w:rPr>
              <w:t>ABS data on wages and salaries in the Manufacturing Industry</w:t>
            </w:r>
          </w:p>
        </w:tc>
        <w:tc>
          <w:tcPr>
            <w:tcW w:w="3118" w:type="dxa"/>
            <w:tcBorders>
              <w:lef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sz w:val="18"/>
              </w:rPr>
            </w:pPr>
            <w:r>
              <w:rPr>
                <w:rFonts w:ascii="Arial" w:hAnsi="Arial"/>
                <w:sz w:val="18"/>
              </w:rPr>
              <w:t>Assume fixed in real terms</w:t>
            </w:r>
          </w:p>
        </w:tc>
      </w:tr>
      <w:tr w:rsidR="00000000">
        <w:trPr>
          <w:cantSplit/>
        </w:trPr>
        <w:tc>
          <w:tcPr>
            <w:tcW w:w="1526" w:type="dxa"/>
            <w:vMerge w:val="restart"/>
            <w:tcBorders>
              <w:right w:val="single" w:sz="4" w:space="0" w:color="C0C0C0"/>
            </w:tcBorders>
          </w:tcPr>
          <w:p w:rsidR="00000000" w:rsidRDefault="00D35856">
            <w:pPr>
              <w:keepNext w:val="0"/>
              <w:keepLines/>
              <w:widowControl w:val="0"/>
              <w:spacing w:after="0"/>
              <w:jc w:val="left"/>
              <w:rPr>
                <w:b/>
                <w:i/>
                <w:sz w:val="18"/>
              </w:rPr>
            </w:pPr>
            <w:r>
              <w:rPr>
                <w:rFonts w:ascii="Arial" w:hAnsi="Arial"/>
                <w:b/>
                <w:i/>
                <w:sz w:val="18"/>
              </w:rPr>
              <w:t>Additional labelling costs</w:t>
            </w:r>
          </w:p>
        </w:tc>
        <w:tc>
          <w:tcPr>
            <w:tcW w:w="1843" w:type="dxa"/>
            <w:tcBorders>
              <w:left w:val="single" w:sz="4" w:space="0" w:color="C0C0C0"/>
              <w:right w:val="single" w:sz="4" w:space="0" w:color="C0C0C0"/>
            </w:tcBorders>
          </w:tcPr>
          <w:p w:rsidR="00000000" w:rsidRDefault="00D35856">
            <w:pPr>
              <w:keepNext w:val="0"/>
              <w:keepLines/>
              <w:widowControl w:val="0"/>
              <w:spacing w:after="0"/>
              <w:jc w:val="left"/>
              <w:rPr>
                <w:sz w:val="18"/>
              </w:rPr>
            </w:pPr>
            <w:r>
              <w:rPr>
                <w:rFonts w:ascii="Arial" w:hAnsi="Arial"/>
                <w:sz w:val="18"/>
              </w:rPr>
              <w:t>Costs of printing and affixing labels</w:t>
            </w:r>
          </w:p>
        </w:tc>
        <w:tc>
          <w:tcPr>
            <w:tcW w:w="2268" w:type="dxa"/>
            <w:tcBorders>
              <w:left w:val="single" w:sz="4" w:space="0" w:color="C0C0C0"/>
              <w:right w:val="single" w:sz="4" w:space="0" w:color="C0C0C0"/>
            </w:tcBorders>
          </w:tcPr>
          <w:p w:rsidR="00000000" w:rsidRDefault="00D35856">
            <w:pPr>
              <w:keepNext w:val="0"/>
              <w:keepLines/>
              <w:widowControl w:val="0"/>
              <w:numPr>
                <w:ilvl w:val="0"/>
                <w:numId w:val="5"/>
              </w:numPr>
              <w:tabs>
                <w:tab w:val="clear" w:pos="720"/>
                <w:tab w:val="num" w:pos="150"/>
              </w:tabs>
              <w:spacing w:after="0"/>
              <w:ind w:left="150" w:hanging="142"/>
              <w:jc w:val="left"/>
              <w:rPr>
                <w:sz w:val="18"/>
              </w:rPr>
            </w:pPr>
            <w:r>
              <w:rPr>
                <w:rFonts w:ascii="Arial" w:hAnsi="Arial"/>
                <w:sz w:val="18"/>
              </w:rPr>
              <w:t>As for estimated</w:t>
            </w:r>
          </w:p>
        </w:tc>
        <w:tc>
          <w:tcPr>
            <w:tcW w:w="3118" w:type="dxa"/>
            <w:tcBorders>
              <w:left w:val="single" w:sz="4" w:space="0" w:color="C0C0C0"/>
            </w:tcBorders>
          </w:tcPr>
          <w:p w:rsidR="00000000" w:rsidRDefault="00D35856">
            <w:pPr>
              <w:keepNext w:val="0"/>
              <w:keepLines/>
              <w:widowControl w:val="0"/>
              <w:numPr>
                <w:ilvl w:val="0"/>
                <w:numId w:val="5"/>
              </w:numPr>
              <w:tabs>
                <w:tab w:val="clear" w:pos="720"/>
                <w:tab w:val="num" w:pos="150"/>
              </w:tabs>
              <w:spacing w:after="0"/>
              <w:ind w:left="150" w:hanging="142"/>
              <w:jc w:val="left"/>
              <w:rPr>
                <w:rFonts w:ascii="Arial" w:hAnsi="Arial"/>
                <w:sz w:val="18"/>
              </w:rPr>
            </w:pPr>
            <w:smartTag w:uri="urn:schemas-microsoft-com:office:smarttags" w:element="City">
              <w:r>
                <w:rPr>
                  <w:rFonts w:ascii="Arial" w:hAnsi="Arial"/>
                  <w:sz w:val="18"/>
                </w:rPr>
                <w:t>WELS</w:t>
              </w:r>
            </w:smartTag>
            <w:r>
              <w:rPr>
                <w:rFonts w:ascii="Arial" w:hAnsi="Arial"/>
                <w:sz w:val="18"/>
              </w:rPr>
              <w:t xml:space="preserve"> RIS</w:t>
            </w:r>
          </w:p>
          <w:p w:rsidR="00000000" w:rsidRDefault="00D35856">
            <w:pPr>
              <w:keepNext w:val="0"/>
              <w:keepLines/>
              <w:widowControl w:val="0"/>
              <w:numPr>
                <w:ilvl w:val="0"/>
                <w:numId w:val="5"/>
              </w:numPr>
              <w:tabs>
                <w:tab w:val="clear" w:pos="720"/>
                <w:tab w:val="num" w:pos="150"/>
              </w:tabs>
              <w:spacing w:after="0"/>
              <w:ind w:left="150" w:hanging="142"/>
              <w:jc w:val="left"/>
              <w:rPr>
                <w:sz w:val="18"/>
              </w:rPr>
            </w:pPr>
            <w:r>
              <w:rPr>
                <w:rFonts w:ascii="Arial" w:hAnsi="Arial"/>
                <w:sz w:val="18"/>
              </w:rPr>
              <w:t>Informal interviews</w:t>
            </w:r>
          </w:p>
        </w:tc>
      </w:tr>
      <w:tr w:rsidR="00000000">
        <w:trPr>
          <w:cantSplit/>
        </w:trPr>
        <w:tc>
          <w:tcPr>
            <w:tcW w:w="1526" w:type="dxa"/>
            <w:vMerge/>
            <w:tcBorders>
              <w:right w:val="single" w:sz="4" w:space="0" w:color="C0C0C0"/>
            </w:tcBorders>
          </w:tcPr>
          <w:p w:rsidR="00000000" w:rsidRDefault="00D35856">
            <w:pPr>
              <w:keepNext w:val="0"/>
              <w:keepLines/>
              <w:widowControl w:val="0"/>
              <w:spacing w:after="0"/>
              <w:jc w:val="left"/>
              <w:rPr>
                <w:rFonts w:ascii="Arial" w:hAnsi="Arial"/>
                <w:b/>
                <w:i/>
                <w:sz w:val="18"/>
              </w:rPr>
            </w:pPr>
          </w:p>
        </w:tc>
        <w:tc>
          <w:tcPr>
            <w:tcW w:w="1843" w:type="dxa"/>
            <w:tcBorders>
              <w:left w:val="single" w:sz="4" w:space="0" w:color="C0C0C0"/>
              <w:right w:val="single" w:sz="4" w:space="0" w:color="C0C0C0"/>
            </w:tcBorders>
          </w:tcPr>
          <w:p w:rsidR="00000000" w:rsidRDefault="00D35856">
            <w:pPr>
              <w:keepNext w:val="0"/>
              <w:keepLines/>
              <w:widowControl w:val="0"/>
              <w:spacing w:after="0"/>
              <w:jc w:val="left"/>
              <w:rPr>
                <w:rFonts w:ascii="Arial" w:hAnsi="Arial"/>
                <w:sz w:val="18"/>
              </w:rPr>
            </w:pPr>
            <w:r>
              <w:rPr>
                <w:rFonts w:ascii="Arial" w:hAnsi="Arial"/>
                <w:sz w:val="18"/>
              </w:rPr>
              <w:t>Units labelled per year</w:t>
            </w:r>
          </w:p>
        </w:tc>
        <w:tc>
          <w:tcPr>
            <w:tcW w:w="2268" w:type="dxa"/>
            <w:tcBorders>
              <w:left w:val="single" w:sz="4" w:space="0" w:color="C0C0C0"/>
              <w:right w:val="single" w:sz="4" w:space="0" w:color="C0C0C0"/>
            </w:tcBorders>
          </w:tcPr>
          <w:p w:rsidR="00000000" w:rsidRDefault="00D35856">
            <w:pPr>
              <w:keepNext w:val="0"/>
              <w:keepLines/>
              <w:widowControl w:val="0"/>
              <w:numPr>
                <w:ilvl w:val="0"/>
                <w:numId w:val="5"/>
              </w:numPr>
              <w:tabs>
                <w:tab w:val="clear" w:pos="720"/>
                <w:tab w:val="num" w:pos="150"/>
              </w:tabs>
              <w:spacing w:after="0"/>
              <w:ind w:left="150" w:hanging="142"/>
              <w:jc w:val="left"/>
              <w:rPr>
                <w:rFonts w:ascii="Arial" w:hAnsi="Arial"/>
                <w:sz w:val="18"/>
              </w:rPr>
            </w:pPr>
            <w:r>
              <w:rPr>
                <w:rFonts w:ascii="Arial" w:hAnsi="Arial"/>
                <w:sz w:val="18"/>
              </w:rPr>
              <w:t>For CWM and DWM, historical sales data</w:t>
            </w:r>
          </w:p>
          <w:p w:rsidR="00000000" w:rsidRDefault="00D35856">
            <w:pPr>
              <w:keepNext w:val="0"/>
              <w:keepLines/>
              <w:widowControl w:val="0"/>
              <w:numPr>
                <w:ilvl w:val="0"/>
                <w:numId w:val="5"/>
              </w:numPr>
              <w:tabs>
                <w:tab w:val="clear" w:pos="720"/>
                <w:tab w:val="num" w:pos="150"/>
              </w:tabs>
              <w:spacing w:after="0"/>
              <w:ind w:left="150" w:hanging="142"/>
              <w:jc w:val="left"/>
              <w:rPr>
                <w:rFonts w:ascii="Arial" w:hAnsi="Arial"/>
                <w:sz w:val="18"/>
              </w:rPr>
            </w:pPr>
            <w:r>
              <w:rPr>
                <w:rFonts w:ascii="Arial" w:hAnsi="Arial"/>
                <w:sz w:val="18"/>
              </w:rPr>
              <w:t>For toilets, stock model</w:t>
            </w:r>
          </w:p>
          <w:p w:rsidR="00000000" w:rsidRDefault="00D35856">
            <w:pPr>
              <w:keepNext w:val="0"/>
              <w:keepLines/>
              <w:widowControl w:val="0"/>
              <w:numPr>
                <w:ilvl w:val="0"/>
                <w:numId w:val="5"/>
              </w:numPr>
              <w:tabs>
                <w:tab w:val="clear" w:pos="720"/>
                <w:tab w:val="num" w:pos="150"/>
              </w:tabs>
              <w:spacing w:after="0"/>
              <w:ind w:left="150" w:hanging="142"/>
              <w:jc w:val="left"/>
              <w:rPr>
                <w:rFonts w:ascii="Arial" w:hAnsi="Arial"/>
                <w:sz w:val="18"/>
              </w:rPr>
            </w:pPr>
            <w:r>
              <w:rPr>
                <w:rFonts w:ascii="Arial" w:hAnsi="Arial"/>
                <w:sz w:val="18"/>
              </w:rPr>
              <w:t>Informal interviews</w:t>
            </w:r>
          </w:p>
        </w:tc>
        <w:tc>
          <w:tcPr>
            <w:tcW w:w="3118" w:type="dxa"/>
            <w:tcBorders>
              <w:left w:val="single" w:sz="4" w:space="0" w:color="C0C0C0"/>
            </w:tcBorders>
          </w:tcPr>
          <w:p w:rsidR="00000000" w:rsidRDefault="00D35856">
            <w:pPr>
              <w:keepNext w:val="0"/>
              <w:keepLines/>
              <w:widowControl w:val="0"/>
              <w:numPr>
                <w:ilvl w:val="0"/>
                <w:numId w:val="5"/>
              </w:numPr>
              <w:tabs>
                <w:tab w:val="clear" w:pos="720"/>
                <w:tab w:val="num" w:pos="150"/>
              </w:tabs>
              <w:spacing w:after="0"/>
              <w:ind w:left="150" w:hanging="142"/>
              <w:jc w:val="left"/>
              <w:rPr>
                <w:rFonts w:ascii="Arial" w:hAnsi="Arial"/>
                <w:sz w:val="18"/>
              </w:rPr>
            </w:pPr>
            <w:r>
              <w:rPr>
                <w:rFonts w:ascii="Arial" w:hAnsi="Arial"/>
                <w:sz w:val="18"/>
              </w:rPr>
              <w:t>Examination of trends of sales</w:t>
            </w:r>
          </w:p>
          <w:p w:rsidR="00000000" w:rsidRDefault="00D35856">
            <w:pPr>
              <w:keepNext w:val="0"/>
              <w:keepLines/>
              <w:widowControl w:val="0"/>
              <w:numPr>
                <w:ilvl w:val="0"/>
                <w:numId w:val="5"/>
              </w:numPr>
              <w:tabs>
                <w:tab w:val="clear" w:pos="720"/>
                <w:tab w:val="num" w:pos="150"/>
              </w:tabs>
              <w:spacing w:after="0"/>
              <w:ind w:left="150" w:hanging="142"/>
              <w:jc w:val="left"/>
              <w:rPr>
                <w:rFonts w:ascii="Arial" w:hAnsi="Arial"/>
                <w:sz w:val="18"/>
              </w:rPr>
            </w:pPr>
            <w:r>
              <w:rPr>
                <w:rFonts w:ascii="Arial" w:hAnsi="Arial"/>
                <w:sz w:val="18"/>
              </w:rPr>
              <w:t>For toilets, stock model</w:t>
            </w:r>
          </w:p>
        </w:tc>
      </w:tr>
      <w:tr w:rsidR="00000000">
        <w:trPr>
          <w:cantSplit/>
        </w:trPr>
        <w:tc>
          <w:tcPr>
            <w:tcW w:w="1526" w:type="dxa"/>
            <w:vMerge w:val="restart"/>
            <w:tcBorders>
              <w:right w:val="single" w:sz="4" w:space="0" w:color="C0C0C0"/>
            </w:tcBorders>
          </w:tcPr>
          <w:p w:rsidR="00000000" w:rsidRDefault="00D35856">
            <w:pPr>
              <w:keepNext w:val="0"/>
              <w:widowControl w:val="0"/>
              <w:spacing w:after="0"/>
              <w:jc w:val="left"/>
              <w:rPr>
                <w:b/>
                <w:i/>
                <w:sz w:val="18"/>
              </w:rPr>
            </w:pPr>
            <w:r>
              <w:rPr>
                <w:rFonts w:ascii="Arial" w:hAnsi="Arial"/>
                <w:b/>
                <w:i/>
                <w:sz w:val="18"/>
              </w:rPr>
              <w:t>Additional testing costs</w:t>
            </w:r>
          </w:p>
        </w:tc>
        <w:tc>
          <w:tcPr>
            <w:tcW w:w="1843" w:type="dxa"/>
            <w:tcBorders>
              <w:left w:val="single" w:sz="4" w:space="0" w:color="C0C0C0"/>
              <w:right w:val="single" w:sz="4" w:space="0" w:color="C0C0C0"/>
            </w:tcBorders>
          </w:tcPr>
          <w:p w:rsidR="00000000" w:rsidRDefault="00D35856">
            <w:pPr>
              <w:keepNext w:val="0"/>
              <w:widowControl w:val="0"/>
              <w:spacing w:after="0"/>
              <w:jc w:val="left"/>
              <w:rPr>
                <w:sz w:val="18"/>
              </w:rPr>
            </w:pPr>
            <w:r>
              <w:rPr>
                <w:rFonts w:ascii="Arial" w:hAnsi="Arial"/>
                <w:sz w:val="18"/>
              </w:rPr>
              <w:t>Price of testing in addition to that already required or conducted</w:t>
            </w:r>
          </w:p>
        </w:tc>
        <w:tc>
          <w:tcPr>
            <w:tcW w:w="2268" w:type="dxa"/>
            <w:tcBorders>
              <w:left w:val="single" w:sz="4" w:space="0" w:color="C0C0C0"/>
              <w:righ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sz w:val="18"/>
              </w:rPr>
            </w:pPr>
            <w:r>
              <w:rPr>
                <w:rFonts w:ascii="Arial" w:hAnsi="Arial"/>
                <w:sz w:val="18"/>
              </w:rPr>
              <w:t>Estimated</w:t>
            </w:r>
          </w:p>
        </w:tc>
        <w:tc>
          <w:tcPr>
            <w:tcW w:w="3118" w:type="dxa"/>
            <w:tcBorders>
              <w:lef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rFonts w:ascii="Arial" w:hAnsi="Arial"/>
                <w:sz w:val="18"/>
              </w:rPr>
            </w:pPr>
            <w:smartTag w:uri="urn:schemas-microsoft-com:office:smarttags" w:element="City">
              <w:r>
                <w:rPr>
                  <w:rFonts w:ascii="Arial" w:hAnsi="Arial"/>
                  <w:sz w:val="18"/>
                </w:rPr>
                <w:t>WELS</w:t>
              </w:r>
            </w:smartTag>
            <w:r>
              <w:rPr>
                <w:rFonts w:ascii="Arial" w:hAnsi="Arial"/>
                <w:sz w:val="18"/>
              </w:rPr>
              <w:t xml:space="preserve"> RIS</w:t>
            </w:r>
          </w:p>
          <w:p w:rsidR="00000000" w:rsidRDefault="00D35856">
            <w:pPr>
              <w:keepNext w:val="0"/>
              <w:widowControl w:val="0"/>
              <w:numPr>
                <w:ilvl w:val="0"/>
                <w:numId w:val="5"/>
              </w:numPr>
              <w:tabs>
                <w:tab w:val="clear" w:pos="720"/>
                <w:tab w:val="num" w:pos="150"/>
              </w:tabs>
              <w:spacing w:after="0"/>
              <w:ind w:left="150" w:hanging="142"/>
              <w:jc w:val="left"/>
              <w:rPr>
                <w:sz w:val="18"/>
              </w:rPr>
            </w:pPr>
            <w:r>
              <w:rPr>
                <w:rFonts w:ascii="Arial" w:hAnsi="Arial"/>
                <w:sz w:val="18"/>
              </w:rPr>
              <w:t>Informal interviews</w:t>
            </w:r>
          </w:p>
        </w:tc>
      </w:tr>
      <w:tr w:rsidR="00000000">
        <w:trPr>
          <w:cantSplit/>
        </w:trPr>
        <w:tc>
          <w:tcPr>
            <w:tcW w:w="1526" w:type="dxa"/>
            <w:vMerge/>
            <w:tcBorders>
              <w:right w:val="single" w:sz="4" w:space="0" w:color="C0C0C0"/>
            </w:tcBorders>
          </w:tcPr>
          <w:p w:rsidR="00000000" w:rsidRDefault="00D35856">
            <w:pPr>
              <w:keepNext w:val="0"/>
              <w:widowControl w:val="0"/>
              <w:spacing w:after="0"/>
              <w:jc w:val="left"/>
              <w:rPr>
                <w:rFonts w:ascii="Arial" w:hAnsi="Arial"/>
                <w:b/>
                <w:i/>
                <w:sz w:val="18"/>
              </w:rPr>
            </w:pPr>
          </w:p>
        </w:tc>
        <w:tc>
          <w:tcPr>
            <w:tcW w:w="1843" w:type="dxa"/>
            <w:tcBorders>
              <w:left w:val="single" w:sz="4" w:space="0" w:color="C0C0C0"/>
              <w:right w:val="single" w:sz="4" w:space="0" w:color="C0C0C0"/>
            </w:tcBorders>
          </w:tcPr>
          <w:p w:rsidR="00000000" w:rsidRDefault="00D35856">
            <w:pPr>
              <w:keepNext w:val="0"/>
              <w:widowControl w:val="0"/>
              <w:spacing w:after="0"/>
              <w:jc w:val="left"/>
              <w:rPr>
                <w:rFonts w:ascii="Arial" w:hAnsi="Arial"/>
                <w:sz w:val="18"/>
              </w:rPr>
            </w:pPr>
            <w:r>
              <w:rPr>
                <w:rFonts w:ascii="Arial" w:hAnsi="Arial"/>
                <w:sz w:val="18"/>
              </w:rPr>
              <w:t>Proportion of models tested internally/ externally</w:t>
            </w:r>
          </w:p>
        </w:tc>
        <w:tc>
          <w:tcPr>
            <w:tcW w:w="2268" w:type="dxa"/>
            <w:tcBorders>
              <w:left w:val="single" w:sz="4" w:space="0" w:color="C0C0C0"/>
              <w:righ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rFonts w:ascii="Arial" w:hAnsi="Arial"/>
                <w:sz w:val="18"/>
              </w:rPr>
            </w:pPr>
            <w:r>
              <w:rPr>
                <w:rFonts w:ascii="Arial" w:hAnsi="Arial"/>
                <w:sz w:val="18"/>
              </w:rPr>
              <w:t>Informal interviews</w:t>
            </w:r>
          </w:p>
        </w:tc>
        <w:tc>
          <w:tcPr>
            <w:tcW w:w="3118" w:type="dxa"/>
            <w:tcBorders>
              <w:lef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rFonts w:ascii="Arial" w:hAnsi="Arial"/>
                <w:sz w:val="18"/>
              </w:rPr>
            </w:pPr>
            <w:r>
              <w:rPr>
                <w:rFonts w:ascii="Arial" w:hAnsi="Arial"/>
                <w:sz w:val="18"/>
              </w:rPr>
              <w:t>Informal interviews</w:t>
            </w:r>
          </w:p>
        </w:tc>
      </w:tr>
      <w:tr w:rsidR="00000000">
        <w:trPr>
          <w:cantSplit/>
        </w:trPr>
        <w:tc>
          <w:tcPr>
            <w:tcW w:w="1526" w:type="dxa"/>
            <w:tcBorders>
              <w:right w:val="single" w:sz="4" w:space="0" w:color="C0C0C0"/>
            </w:tcBorders>
          </w:tcPr>
          <w:p w:rsidR="00000000" w:rsidRDefault="00D35856">
            <w:pPr>
              <w:keepNext w:val="0"/>
              <w:widowControl w:val="0"/>
              <w:spacing w:after="0"/>
              <w:jc w:val="left"/>
              <w:rPr>
                <w:rFonts w:ascii="Arial" w:hAnsi="Arial"/>
                <w:b/>
                <w:i/>
                <w:sz w:val="18"/>
              </w:rPr>
            </w:pPr>
            <w:r>
              <w:rPr>
                <w:rFonts w:ascii="Arial" w:hAnsi="Arial"/>
                <w:b/>
                <w:i/>
                <w:sz w:val="18"/>
              </w:rPr>
              <w:t xml:space="preserve">Change in wholesale product cost </w:t>
            </w:r>
          </w:p>
        </w:tc>
        <w:tc>
          <w:tcPr>
            <w:tcW w:w="1843" w:type="dxa"/>
            <w:tcBorders>
              <w:left w:val="single" w:sz="4" w:space="0" w:color="C0C0C0"/>
              <w:right w:val="single" w:sz="4" w:space="0" w:color="C0C0C0"/>
            </w:tcBorders>
          </w:tcPr>
          <w:p w:rsidR="00000000" w:rsidRDefault="00D35856">
            <w:pPr>
              <w:keepNext w:val="0"/>
              <w:widowControl w:val="0"/>
              <w:spacing w:after="0"/>
              <w:jc w:val="left"/>
              <w:rPr>
                <w:rFonts w:ascii="Arial" w:hAnsi="Arial"/>
                <w:sz w:val="18"/>
              </w:rPr>
            </w:pPr>
            <w:r>
              <w:rPr>
                <w:rFonts w:ascii="Arial" w:hAnsi="Arial"/>
                <w:sz w:val="18"/>
              </w:rPr>
              <w:t>Price distribution of product range</w:t>
            </w:r>
          </w:p>
        </w:tc>
        <w:tc>
          <w:tcPr>
            <w:tcW w:w="2268" w:type="dxa"/>
            <w:tcBorders>
              <w:left w:val="single" w:sz="4" w:space="0" w:color="C0C0C0"/>
              <w:righ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rFonts w:ascii="Arial" w:hAnsi="Arial"/>
                <w:sz w:val="18"/>
              </w:rPr>
            </w:pPr>
            <w:r>
              <w:rPr>
                <w:rFonts w:ascii="Arial" w:hAnsi="Arial"/>
                <w:sz w:val="18"/>
              </w:rPr>
              <w:t>Assume cost pass through (see retail cost)</w:t>
            </w:r>
          </w:p>
        </w:tc>
        <w:tc>
          <w:tcPr>
            <w:tcW w:w="3118" w:type="dxa"/>
            <w:tcBorders>
              <w:lef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rFonts w:ascii="Arial" w:hAnsi="Arial"/>
                <w:sz w:val="18"/>
              </w:rPr>
            </w:pPr>
            <w:r>
              <w:rPr>
                <w:rFonts w:ascii="Arial" w:hAnsi="Arial"/>
                <w:sz w:val="18"/>
              </w:rPr>
              <w:t>Assume cost pass through (see retail cost)</w:t>
            </w:r>
          </w:p>
        </w:tc>
      </w:tr>
      <w:tr w:rsidR="00000000">
        <w:trPr>
          <w:cantSplit/>
        </w:trPr>
        <w:tc>
          <w:tcPr>
            <w:tcW w:w="1526" w:type="dxa"/>
            <w:tcBorders>
              <w:right w:val="single" w:sz="4" w:space="0" w:color="C0C0C0"/>
            </w:tcBorders>
          </w:tcPr>
          <w:p w:rsidR="00000000" w:rsidRDefault="00D35856">
            <w:pPr>
              <w:keepNext w:val="0"/>
              <w:widowControl w:val="0"/>
              <w:spacing w:after="0"/>
              <w:jc w:val="left"/>
              <w:rPr>
                <w:rFonts w:ascii="Arial" w:hAnsi="Arial"/>
                <w:b/>
                <w:i/>
                <w:sz w:val="18"/>
              </w:rPr>
            </w:pPr>
            <w:r>
              <w:rPr>
                <w:rFonts w:ascii="Arial" w:hAnsi="Arial"/>
                <w:b/>
                <w:i/>
                <w:sz w:val="18"/>
              </w:rPr>
              <w:t>Additional retailers’ costs</w:t>
            </w:r>
          </w:p>
        </w:tc>
        <w:tc>
          <w:tcPr>
            <w:tcW w:w="1843" w:type="dxa"/>
            <w:tcBorders>
              <w:left w:val="single" w:sz="4" w:space="0" w:color="C0C0C0"/>
              <w:right w:val="single" w:sz="4" w:space="0" w:color="C0C0C0"/>
            </w:tcBorders>
          </w:tcPr>
          <w:p w:rsidR="00000000" w:rsidRDefault="00D35856">
            <w:pPr>
              <w:keepNext w:val="0"/>
              <w:widowControl w:val="0"/>
              <w:spacing w:after="0"/>
              <w:jc w:val="left"/>
              <w:rPr>
                <w:rFonts w:ascii="Arial" w:hAnsi="Arial"/>
                <w:sz w:val="18"/>
              </w:rPr>
            </w:pPr>
            <w:r>
              <w:rPr>
                <w:rFonts w:ascii="Arial" w:hAnsi="Arial"/>
                <w:sz w:val="18"/>
              </w:rPr>
              <w:t>Retailers cost</w:t>
            </w:r>
          </w:p>
        </w:tc>
        <w:tc>
          <w:tcPr>
            <w:tcW w:w="2268" w:type="dxa"/>
            <w:tcBorders>
              <w:left w:val="single" w:sz="4" w:space="0" w:color="C0C0C0"/>
              <w:righ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rFonts w:ascii="Arial" w:hAnsi="Arial"/>
                <w:sz w:val="18"/>
              </w:rPr>
            </w:pPr>
            <w:r>
              <w:rPr>
                <w:rFonts w:ascii="Arial" w:hAnsi="Arial"/>
                <w:sz w:val="18"/>
              </w:rPr>
              <w:t>Informal interviews</w:t>
            </w:r>
          </w:p>
        </w:tc>
        <w:tc>
          <w:tcPr>
            <w:tcW w:w="3118" w:type="dxa"/>
            <w:tcBorders>
              <w:lef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rFonts w:ascii="Arial" w:hAnsi="Arial"/>
                <w:sz w:val="18"/>
              </w:rPr>
            </w:pPr>
            <w:r>
              <w:rPr>
                <w:rFonts w:ascii="Arial" w:hAnsi="Arial"/>
                <w:sz w:val="18"/>
              </w:rPr>
              <w:t>Informal interviews</w:t>
            </w:r>
          </w:p>
        </w:tc>
      </w:tr>
      <w:tr w:rsidR="00000000">
        <w:trPr>
          <w:cantSplit/>
        </w:trPr>
        <w:tc>
          <w:tcPr>
            <w:tcW w:w="1526" w:type="dxa"/>
            <w:tcBorders>
              <w:right w:val="single" w:sz="4" w:space="0" w:color="C0C0C0"/>
            </w:tcBorders>
          </w:tcPr>
          <w:p w:rsidR="00000000" w:rsidRDefault="00D35856">
            <w:pPr>
              <w:keepNext w:val="0"/>
              <w:widowControl w:val="0"/>
              <w:spacing w:after="0"/>
              <w:jc w:val="left"/>
              <w:rPr>
                <w:rFonts w:ascii="Arial" w:hAnsi="Arial"/>
                <w:b/>
                <w:i/>
                <w:sz w:val="18"/>
              </w:rPr>
            </w:pPr>
            <w:r>
              <w:rPr>
                <w:rFonts w:ascii="Arial" w:hAnsi="Arial"/>
                <w:b/>
                <w:i/>
                <w:sz w:val="18"/>
              </w:rPr>
              <w:t>Change in retail product cost</w:t>
            </w:r>
          </w:p>
        </w:tc>
        <w:tc>
          <w:tcPr>
            <w:tcW w:w="1843" w:type="dxa"/>
            <w:tcBorders>
              <w:left w:val="single" w:sz="4" w:space="0" w:color="C0C0C0"/>
              <w:right w:val="single" w:sz="4" w:space="0" w:color="C0C0C0"/>
            </w:tcBorders>
          </w:tcPr>
          <w:p w:rsidR="00000000" w:rsidRDefault="00D35856">
            <w:pPr>
              <w:keepNext w:val="0"/>
              <w:widowControl w:val="0"/>
              <w:spacing w:after="0"/>
              <w:jc w:val="left"/>
              <w:rPr>
                <w:rFonts w:ascii="Arial" w:hAnsi="Arial"/>
                <w:sz w:val="18"/>
              </w:rPr>
            </w:pPr>
            <w:r>
              <w:rPr>
                <w:rFonts w:ascii="Arial" w:hAnsi="Arial"/>
                <w:sz w:val="18"/>
              </w:rPr>
              <w:t>Price distribution of product range</w:t>
            </w:r>
          </w:p>
        </w:tc>
        <w:tc>
          <w:tcPr>
            <w:tcW w:w="2268" w:type="dxa"/>
            <w:tcBorders>
              <w:left w:val="single" w:sz="4" w:space="0" w:color="C0C0C0"/>
              <w:righ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rFonts w:ascii="Arial" w:hAnsi="Arial"/>
                <w:sz w:val="18"/>
              </w:rPr>
            </w:pPr>
            <w:r>
              <w:rPr>
                <w:rFonts w:ascii="Arial" w:hAnsi="Arial"/>
                <w:sz w:val="18"/>
              </w:rPr>
              <w:t>For CWM and DW, sales data</w:t>
            </w:r>
          </w:p>
          <w:p w:rsidR="00000000" w:rsidRDefault="00D35856">
            <w:pPr>
              <w:keepNext w:val="0"/>
              <w:widowControl w:val="0"/>
              <w:numPr>
                <w:ilvl w:val="0"/>
                <w:numId w:val="5"/>
              </w:numPr>
              <w:tabs>
                <w:tab w:val="clear" w:pos="720"/>
                <w:tab w:val="num" w:pos="150"/>
              </w:tabs>
              <w:spacing w:after="0"/>
              <w:ind w:left="150" w:hanging="142"/>
              <w:jc w:val="left"/>
              <w:rPr>
                <w:rFonts w:ascii="Arial" w:hAnsi="Arial"/>
                <w:sz w:val="18"/>
              </w:rPr>
            </w:pPr>
            <w:r>
              <w:rPr>
                <w:rFonts w:ascii="Arial" w:hAnsi="Arial"/>
                <w:sz w:val="18"/>
              </w:rPr>
              <w:t>Informal interviews</w:t>
            </w:r>
          </w:p>
        </w:tc>
        <w:tc>
          <w:tcPr>
            <w:tcW w:w="3118" w:type="dxa"/>
            <w:tcBorders>
              <w:lef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rFonts w:ascii="Arial" w:hAnsi="Arial"/>
                <w:sz w:val="18"/>
              </w:rPr>
            </w:pPr>
            <w:r>
              <w:rPr>
                <w:rFonts w:ascii="Arial" w:hAnsi="Arial"/>
                <w:sz w:val="18"/>
              </w:rPr>
              <w:t>For CWM and DW, examine trends</w:t>
            </w:r>
          </w:p>
          <w:p w:rsidR="00000000" w:rsidRDefault="00D35856">
            <w:pPr>
              <w:keepNext w:val="0"/>
              <w:widowControl w:val="0"/>
              <w:numPr>
                <w:ilvl w:val="0"/>
                <w:numId w:val="5"/>
              </w:numPr>
              <w:tabs>
                <w:tab w:val="clear" w:pos="720"/>
                <w:tab w:val="num" w:pos="150"/>
              </w:tabs>
              <w:spacing w:after="0"/>
              <w:ind w:left="150" w:hanging="142"/>
              <w:jc w:val="left"/>
              <w:rPr>
                <w:rFonts w:ascii="Arial" w:hAnsi="Arial"/>
                <w:sz w:val="18"/>
              </w:rPr>
            </w:pPr>
            <w:r>
              <w:rPr>
                <w:rFonts w:ascii="Arial" w:hAnsi="Arial"/>
                <w:sz w:val="18"/>
              </w:rPr>
              <w:t>Informal interviews</w:t>
            </w:r>
          </w:p>
        </w:tc>
      </w:tr>
      <w:tr w:rsidR="00000000">
        <w:trPr>
          <w:cantSplit/>
        </w:trPr>
        <w:tc>
          <w:tcPr>
            <w:tcW w:w="1526" w:type="dxa"/>
            <w:vMerge w:val="restart"/>
            <w:tcBorders>
              <w:right w:val="single" w:sz="4" w:space="0" w:color="C0C0C0"/>
            </w:tcBorders>
          </w:tcPr>
          <w:p w:rsidR="00000000" w:rsidRDefault="00D35856">
            <w:pPr>
              <w:keepNext w:val="0"/>
              <w:widowControl w:val="0"/>
              <w:spacing w:after="0"/>
              <w:jc w:val="left"/>
              <w:rPr>
                <w:rFonts w:ascii="Arial" w:hAnsi="Arial"/>
                <w:b/>
                <w:i/>
                <w:sz w:val="18"/>
              </w:rPr>
            </w:pPr>
            <w:r>
              <w:rPr>
                <w:rFonts w:ascii="Arial" w:hAnsi="Arial"/>
                <w:b/>
                <w:i/>
                <w:sz w:val="18"/>
              </w:rPr>
              <w:t>Reduced water bill payments (consumers)</w:t>
            </w:r>
          </w:p>
        </w:tc>
        <w:tc>
          <w:tcPr>
            <w:tcW w:w="1843" w:type="dxa"/>
            <w:tcBorders>
              <w:left w:val="single" w:sz="4" w:space="0" w:color="C0C0C0"/>
              <w:right w:val="single" w:sz="4" w:space="0" w:color="C0C0C0"/>
            </w:tcBorders>
          </w:tcPr>
          <w:p w:rsidR="00000000" w:rsidRDefault="00D35856">
            <w:pPr>
              <w:keepNext w:val="0"/>
              <w:widowControl w:val="0"/>
              <w:spacing w:after="0"/>
              <w:jc w:val="left"/>
              <w:rPr>
                <w:rFonts w:ascii="Arial" w:hAnsi="Arial"/>
                <w:sz w:val="18"/>
              </w:rPr>
            </w:pPr>
            <w:r>
              <w:rPr>
                <w:rFonts w:ascii="Arial" w:hAnsi="Arial"/>
                <w:sz w:val="18"/>
              </w:rPr>
              <w:t xml:space="preserve">Water tariffs (see section </w:t>
            </w:r>
            <w:r>
              <w:rPr>
                <w:rFonts w:ascii="Arial" w:hAnsi="Arial"/>
                <w:sz w:val="18"/>
              </w:rPr>
              <w:fldChar w:fldCharType="begin"/>
            </w:r>
            <w:r>
              <w:rPr>
                <w:rFonts w:ascii="Arial" w:hAnsi="Arial"/>
                <w:sz w:val="18"/>
              </w:rPr>
              <w:instrText xml:space="preserve"> REF _Ref195498473 \r \h </w:instrText>
            </w:r>
            <w:r w:rsidR="00D87CE9">
              <w:rPr>
                <w:rFonts w:ascii="Arial" w:hAnsi="Arial"/>
                <w:sz w:val="18"/>
              </w:rPr>
            </w:r>
            <w:r>
              <w:rPr>
                <w:rFonts w:ascii="Arial" w:hAnsi="Arial"/>
                <w:sz w:val="18"/>
              </w:rPr>
              <w:fldChar w:fldCharType="separate"/>
            </w:r>
            <w:r>
              <w:rPr>
                <w:rFonts w:ascii="Arial" w:hAnsi="Arial"/>
                <w:sz w:val="18"/>
              </w:rPr>
              <w:t>4.7</w:t>
            </w:r>
            <w:r>
              <w:rPr>
                <w:rFonts w:ascii="Arial" w:hAnsi="Arial"/>
                <w:sz w:val="18"/>
              </w:rPr>
              <w:fldChar w:fldCharType="end"/>
            </w:r>
            <w:r>
              <w:rPr>
                <w:rFonts w:ascii="Arial" w:hAnsi="Arial"/>
                <w:sz w:val="18"/>
              </w:rPr>
              <w:t>)</w:t>
            </w:r>
          </w:p>
        </w:tc>
        <w:tc>
          <w:tcPr>
            <w:tcW w:w="2268" w:type="dxa"/>
            <w:tcBorders>
              <w:left w:val="single" w:sz="4" w:space="0" w:color="C0C0C0"/>
              <w:righ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rFonts w:ascii="Arial" w:hAnsi="Arial"/>
                <w:sz w:val="18"/>
              </w:rPr>
            </w:pPr>
            <w:r>
              <w:rPr>
                <w:rFonts w:ascii="Arial" w:hAnsi="Arial"/>
                <w:sz w:val="18"/>
              </w:rPr>
              <w:t xml:space="preserve">Weighted average Australian tariff </w:t>
            </w:r>
          </w:p>
        </w:tc>
        <w:tc>
          <w:tcPr>
            <w:tcW w:w="3118" w:type="dxa"/>
            <w:tcBorders>
              <w:lef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rFonts w:ascii="Arial" w:hAnsi="Arial"/>
                <w:sz w:val="18"/>
              </w:rPr>
            </w:pPr>
            <w:r>
              <w:rPr>
                <w:rFonts w:ascii="Arial" w:hAnsi="Arial"/>
                <w:sz w:val="18"/>
              </w:rPr>
              <w:t>Assume constant linear rate of real growth</w:t>
            </w:r>
          </w:p>
        </w:tc>
      </w:tr>
      <w:tr w:rsidR="00000000">
        <w:trPr>
          <w:cantSplit/>
        </w:trPr>
        <w:tc>
          <w:tcPr>
            <w:tcW w:w="1526" w:type="dxa"/>
            <w:vMerge/>
            <w:tcBorders>
              <w:right w:val="single" w:sz="4" w:space="0" w:color="C0C0C0"/>
            </w:tcBorders>
          </w:tcPr>
          <w:p w:rsidR="00000000" w:rsidRDefault="00D35856">
            <w:pPr>
              <w:keepNext w:val="0"/>
              <w:widowControl w:val="0"/>
              <w:spacing w:after="0"/>
              <w:jc w:val="left"/>
              <w:rPr>
                <w:rFonts w:ascii="Arial" w:hAnsi="Arial"/>
                <w:b/>
                <w:i/>
                <w:sz w:val="18"/>
              </w:rPr>
            </w:pPr>
          </w:p>
        </w:tc>
        <w:tc>
          <w:tcPr>
            <w:tcW w:w="1843" w:type="dxa"/>
            <w:tcBorders>
              <w:left w:val="single" w:sz="4" w:space="0" w:color="C0C0C0"/>
              <w:right w:val="single" w:sz="4" w:space="0" w:color="C0C0C0"/>
            </w:tcBorders>
          </w:tcPr>
          <w:p w:rsidR="00000000" w:rsidRDefault="00D35856">
            <w:pPr>
              <w:keepNext w:val="0"/>
              <w:widowControl w:val="0"/>
              <w:spacing w:after="0"/>
              <w:jc w:val="left"/>
              <w:rPr>
                <w:rFonts w:ascii="Arial" w:hAnsi="Arial"/>
                <w:sz w:val="18"/>
              </w:rPr>
            </w:pPr>
            <w:r>
              <w:rPr>
                <w:rFonts w:ascii="Arial" w:hAnsi="Arial"/>
                <w:sz w:val="18"/>
              </w:rPr>
              <w:t>Water savings</w:t>
            </w:r>
          </w:p>
        </w:tc>
        <w:tc>
          <w:tcPr>
            <w:tcW w:w="2268" w:type="dxa"/>
            <w:tcBorders>
              <w:left w:val="single" w:sz="4" w:space="0" w:color="C0C0C0"/>
              <w:righ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rFonts w:ascii="Arial" w:hAnsi="Arial"/>
                <w:sz w:val="18"/>
              </w:rPr>
            </w:pPr>
            <w:r>
              <w:rPr>
                <w:rFonts w:ascii="Arial" w:hAnsi="Arial"/>
                <w:sz w:val="18"/>
              </w:rPr>
              <w:t>Estimated</w:t>
            </w:r>
          </w:p>
        </w:tc>
        <w:tc>
          <w:tcPr>
            <w:tcW w:w="3118" w:type="dxa"/>
            <w:tcBorders>
              <w:lef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rFonts w:ascii="Arial" w:hAnsi="Arial"/>
                <w:sz w:val="18"/>
              </w:rPr>
            </w:pPr>
            <w:r>
              <w:rPr>
                <w:rFonts w:ascii="Arial" w:hAnsi="Arial"/>
                <w:sz w:val="18"/>
              </w:rPr>
              <w:t>Estimated</w:t>
            </w:r>
          </w:p>
        </w:tc>
      </w:tr>
      <w:tr w:rsidR="00000000">
        <w:trPr>
          <w:cantSplit/>
        </w:trPr>
        <w:tc>
          <w:tcPr>
            <w:tcW w:w="1526" w:type="dxa"/>
            <w:vMerge w:val="restart"/>
            <w:tcBorders>
              <w:right w:val="single" w:sz="4" w:space="0" w:color="C0C0C0"/>
            </w:tcBorders>
          </w:tcPr>
          <w:p w:rsidR="00000000" w:rsidRDefault="00D35856">
            <w:pPr>
              <w:keepNext w:val="0"/>
              <w:widowControl w:val="0"/>
              <w:spacing w:after="0"/>
              <w:jc w:val="left"/>
              <w:rPr>
                <w:rFonts w:ascii="Arial" w:hAnsi="Arial"/>
                <w:b/>
                <w:i/>
                <w:sz w:val="18"/>
              </w:rPr>
            </w:pPr>
            <w:r>
              <w:rPr>
                <w:rFonts w:ascii="Arial" w:hAnsi="Arial"/>
                <w:b/>
                <w:i/>
                <w:sz w:val="18"/>
              </w:rPr>
              <w:t>Reduced energy bill payments (consumers)</w:t>
            </w:r>
          </w:p>
        </w:tc>
        <w:tc>
          <w:tcPr>
            <w:tcW w:w="1843" w:type="dxa"/>
            <w:tcBorders>
              <w:left w:val="single" w:sz="4" w:space="0" w:color="C0C0C0"/>
              <w:right w:val="single" w:sz="4" w:space="0" w:color="C0C0C0"/>
            </w:tcBorders>
          </w:tcPr>
          <w:p w:rsidR="00000000" w:rsidRDefault="00D35856">
            <w:pPr>
              <w:keepNext w:val="0"/>
              <w:widowControl w:val="0"/>
              <w:spacing w:after="0"/>
              <w:jc w:val="left"/>
              <w:rPr>
                <w:rFonts w:ascii="Arial" w:hAnsi="Arial"/>
                <w:sz w:val="18"/>
              </w:rPr>
            </w:pPr>
            <w:r>
              <w:rPr>
                <w:rFonts w:ascii="Arial" w:hAnsi="Arial"/>
                <w:sz w:val="18"/>
              </w:rPr>
              <w:t>Electricity and gas tariffs</w:t>
            </w:r>
          </w:p>
        </w:tc>
        <w:tc>
          <w:tcPr>
            <w:tcW w:w="2268" w:type="dxa"/>
            <w:tcBorders>
              <w:left w:val="single" w:sz="4" w:space="0" w:color="C0C0C0"/>
              <w:righ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rFonts w:ascii="Arial" w:hAnsi="Arial"/>
                <w:sz w:val="18"/>
              </w:rPr>
            </w:pPr>
            <w:r>
              <w:rPr>
                <w:rFonts w:ascii="Arial" w:hAnsi="Arial"/>
                <w:sz w:val="18"/>
              </w:rPr>
              <w:t>Weighted average Australian tariffs</w:t>
            </w:r>
          </w:p>
        </w:tc>
        <w:tc>
          <w:tcPr>
            <w:tcW w:w="3118" w:type="dxa"/>
            <w:tcBorders>
              <w:lef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rFonts w:ascii="Arial" w:hAnsi="Arial"/>
                <w:sz w:val="18"/>
              </w:rPr>
            </w:pPr>
            <w:r>
              <w:rPr>
                <w:rFonts w:ascii="Arial" w:hAnsi="Arial"/>
                <w:sz w:val="18"/>
              </w:rPr>
              <w:t>Assume constant linear rate of real growth</w:t>
            </w:r>
          </w:p>
        </w:tc>
      </w:tr>
      <w:tr w:rsidR="00000000">
        <w:trPr>
          <w:cantSplit/>
        </w:trPr>
        <w:tc>
          <w:tcPr>
            <w:tcW w:w="1526" w:type="dxa"/>
            <w:vMerge/>
            <w:tcBorders>
              <w:right w:val="single" w:sz="4" w:space="0" w:color="C0C0C0"/>
            </w:tcBorders>
          </w:tcPr>
          <w:p w:rsidR="00000000" w:rsidRDefault="00D35856">
            <w:pPr>
              <w:keepNext w:val="0"/>
              <w:widowControl w:val="0"/>
              <w:spacing w:after="0"/>
              <w:jc w:val="left"/>
              <w:rPr>
                <w:rFonts w:ascii="Arial" w:hAnsi="Arial"/>
                <w:b/>
                <w:i/>
                <w:sz w:val="18"/>
              </w:rPr>
            </w:pPr>
          </w:p>
        </w:tc>
        <w:tc>
          <w:tcPr>
            <w:tcW w:w="1843" w:type="dxa"/>
            <w:tcBorders>
              <w:left w:val="single" w:sz="4" w:space="0" w:color="C0C0C0"/>
              <w:right w:val="single" w:sz="4" w:space="0" w:color="C0C0C0"/>
            </w:tcBorders>
          </w:tcPr>
          <w:p w:rsidR="00000000" w:rsidRDefault="00D35856">
            <w:pPr>
              <w:keepNext w:val="0"/>
              <w:widowControl w:val="0"/>
              <w:spacing w:after="0"/>
              <w:jc w:val="left"/>
              <w:rPr>
                <w:rFonts w:ascii="Arial" w:hAnsi="Arial"/>
                <w:sz w:val="18"/>
              </w:rPr>
            </w:pPr>
            <w:r>
              <w:rPr>
                <w:rFonts w:ascii="Arial" w:hAnsi="Arial"/>
                <w:sz w:val="18"/>
              </w:rPr>
              <w:t>Electricity and gas savings</w:t>
            </w:r>
          </w:p>
        </w:tc>
        <w:tc>
          <w:tcPr>
            <w:tcW w:w="2268" w:type="dxa"/>
            <w:tcBorders>
              <w:left w:val="single" w:sz="4" w:space="0" w:color="C0C0C0"/>
              <w:righ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rFonts w:ascii="Arial" w:hAnsi="Arial"/>
                <w:sz w:val="18"/>
              </w:rPr>
            </w:pPr>
            <w:r>
              <w:rPr>
                <w:rFonts w:ascii="Arial" w:hAnsi="Arial"/>
                <w:sz w:val="18"/>
              </w:rPr>
              <w:t>Estimated</w:t>
            </w:r>
          </w:p>
        </w:tc>
        <w:tc>
          <w:tcPr>
            <w:tcW w:w="3118" w:type="dxa"/>
            <w:tcBorders>
              <w:lef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rFonts w:ascii="Arial" w:hAnsi="Arial"/>
                <w:sz w:val="18"/>
              </w:rPr>
            </w:pPr>
            <w:r>
              <w:rPr>
                <w:rFonts w:ascii="Arial" w:hAnsi="Arial"/>
                <w:sz w:val="18"/>
              </w:rPr>
              <w:t>Estimated</w:t>
            </w:r>
          </w:p>
        </w:tc>
      </w:tr>
      <w:tr w:rsidR="00000000">
        <w:trPr>
          <w:cantSplit/>
        </w:trPr>
        <w:tc>
          <w:tcPr>
            <w:tcW w:w="1526" w:type="dxa"/>
            <w:vMerge w:val="restart"/>
            <w:tcBorders>
              <w:right w:val="single" w:sz="4" w:space="0" w:color="C0C0C0"/>
            </w:tcBorders>
          </w:tcPr>
          <w:p w:rsidR="00000000" w:rsidRDefault="00D35856">
            <w:pPr>
              <w:keepNext w:val="0"/>
              <w:widowControl w:val="0"/>
              <w:spacing w:after="0"/>
              <w:jc w:val="left"/>
              <w:rPr>
                <w:rFonts w:ascii="Arial" w:hAnsi="Arial"/>
                <w:b/>
                <w:i/>
                <w:sz w:val="18"/>
              </w:rPr>
            </w:pPr>
            <w:r>
              <w:rPr>
                <w:rFonts w:ascii="Arial" w:hAnsi="Arial"/>
                <w:b/>
                <w:i/>
                <w:sz w:val="18"/>
              </w:rPr>
              <w:t>Reduced operating costs (water businesses)</w:t>
            </w:r>
          </w:p>
        </w:tc>
        <w:tc>
          <w:tcPr>
            <w:tcW w:w="1843" w:type="dxa"/>
            <w:tcBorders>
              <w:left w:val="single" w:sz="4" w:space="0" w:color="C0C0C0"/>
              <w:right w:val="single" w:sz="4" w:space="0" w:color="C0C0C0"/>
            </w:tcBorders>
          </w:tcPr>
          <w:p w:rsidR="00000000" w:rsidRDefault="00D35856">
            <w:pPr>
              <w:keepNext w:val="0"/>
              <w:widowControl w:val="0"/>
              <w:spacing w:after="0"/>
              <w:jc w:val="left"/>
              <w:rPr>
                <w:rFonts w:ascii="Arial" w:hAnsi="Arial"/>
                <w:sz w:val="18"/>
              </w:rPr>
            </w:pPr>
            <w:r>
              <w:rPr>
                <w:rFonts w:ascii="Arial" w:hAnsi="Arial"/>
                <w:sz w:val="18"/>
              </w:rPr>
              <w:t>Electricity and gas tariffs</w:t>
            </w:r>
          </w:p>
        </w:tc>
        <w:tc>
          <w:tcPr>
            <w:tcW w:w="2268" w:type="dxa"/>
            <w:tcBorders>
              <w:left w:val="single" w:sz="4" w:space="0" w:color="C0C0C0"/>
              <w:righ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rFonts w:ascii="Arial" w:hAnsi="Arial"/>
                <w:sz w:val="18"/>
              </w:rPr>
            </w:pPr>
            <w:r>
              <w:rPr>
                <w:rFonts w:ascii="Arial" w:hAnsi="Arial"/>
                <w:sz w:val="18"/>
              </w:rPr>
              <w:t>Weighted average Australian retail peak tariffs</w:t>
            </w:r>
          </w:p>
        </w:tc>
        <w:tc>
          <w:tcPr>
            <w:tcW w:w="3118" w:type="dxa"/>
            <w:tcBorders>
              <w:lef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rFonts w:ascii="Arial" w:hAnsi="Arial"/>
                <w:sz w:val="18"/>
              </w:rPr>
            </w:pPr>
            <w:r>
              <w:rPr>
                <w:rFonts w:ascii="Arial" w:hAnsi="Arial"/>
                <w:sz w:val="18"/>
              </w:rPr>
              <w:t>Assume constant linear rate of real growth</w:t>
            </w:r>
          </w:p>
        </w:tc>
      </w:tr>
      <w:tr w:rsidR="00000000">
        <w:trPr>
          <w:cantSplit/>
        </w:trPr>
        <w:tc>
          <w:tcPr>
            <w:tcW w:w="1526" w:type="dxa"/>
            <w:vMerge/>
            <w:tcBorders>
              <w:right w:val="single" w:sz="4" w:space="0" w:color="C0C0C0"/>
            </w:tcBorders>
          </w:tcPr>
          <w:p w:rsidR="00000000" w:rsidRDefault="00D35856">
            <w:pPr>
              <w:keepNext w:val="0"/>
              <w:widowControl w:val="0"/>
              <w:spacing w:after="0"/>
              <w:jc w:val="left"/>
              <w:rPr>
                <w:rFonts w:ascii="Arial" w:hAnsi="Arial"/>
                <w:b/>
                <w:i/>
                <w:sz w:val="18"/>
              </w:rPr>
            </w:pPr>
          </w:p>
        </w:tc>
        <w:tc>
          <w:tcPr>
            <w:tcW w:w="1843" w:type="dxa"/>
            <w:tcBorders>
              <w:left w:val="single" w:sz="4" w:space="0" w:color="C0C0C0"/>
              <w:right w:val="single" w:sz="4" w:space="0" w:color="C0C0C0"/>
            </w:tcBorders>
          </w:tcPr>
          <w:p w:rsidR="00000000" w:rsidRDefault="00D35856">
            <w:pPr>
              <w:keepNext w:val="0"/>
              <w:widowControl w:val="0"/>
              <w:spacing w:after="0"/>
              <w:jc w:val="left"/>
              <w:rPr>
                <w:rFonts w:ascii="Arial" w:hAnsi="Arial"/>
                <w:sz w:val="18"/>
              </w:rPr>
            </w:pPr>
            <w:r>
              <w:rPr>
                <w:rFonts w:ascii="Arial" w:hAnsi="Arial"/>
                <w:sz w:val="18"/>
              </w:rPr>
              <w:t>Energy savings</w:t>
            </w:r>
          </w:p>
        </w:tc>
        <w:tc>
          <w:tcPr>
            <w:tcW w:w="2268" w:type="dxa"/>
            <w:tcBorders>
              <w:left w:val="single" w:sz="4" w:space="0" w:color="C0C0C0"/>
              <w:righ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rFonts w:ascii="Arial" w:hAnsi="Arial"/>
                <w:sz w:val="18"/>
              </w:rPr>
            </w:pPr>
            <w:r>
              <w:rPr>
                <w:rFonts w:ascii="Arial" w:hAnsi="Arial"/>
                <w:sz w:val="18"/>
              </w:rPr>
              <w:t>Estimated</w:t>
            </w:r>
          </w:p>
        </w:tc>
        <w:tc>
          <w:tcPr>
            <w:tcW w:w="3118" w:type="dxa"/>
            <w:tcBorders>
              <w:lef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rFonts w:ascii="Arial" w:hAnsi="Arial"/>
                <w:sz w:val="18"/>
              </w:rPr>
            </w:pPr>
            <w:r>
              <w:rPr>
                <w:rFonts w:ascii="Arial" w:hAnsi="Arial"/>
                <w:sz w:val="18"/>
              </w:rPr>
              <w:t>Estimated</w:t>
            </w:r>
          </w:p>
        </w:tc>
      </w:tr>
      <w:tr w:rsidR="00000000">
        <w:trPr>
          <w:cantSplit/>
        </w:trPr>
        <w:tc>
          <w:tcPr>
            <w:tcW w:w="1526" w:type="dxa"/>
            <w:vMerge w:val="restart"/>
            <w:tcBorders>
              <w:right w:val="single" w:sz="4" w:space="0" w:color="C0C0C0"/>
            </w:tcBorders>
          </w:tcPr>
          <w:p w:rsidR="00000000" w:rsidRDefault="00D35856">
            <w:pPr>
              <w:keepNext w:val="0"/>
              <w:widowControl w:val="0"/>
              <w:spacing w:after="0"/>
              <w:jc w:val="left"/>
              <w:rPr>
                <w:rFonts w:ascii="Arial" w:hAnsi="Arial"/>
                <w:b/>
                <w:i/>
                <w:sz w:val="18"/>
              </w:rPr>
            </w:pPr>
            <w:r>
              <w:rPr>
                <w:rFonts w:ascii="Arial" w:hAnsi="Arial"/>
                <w:b/>
                <w:i/>
                <w:sz w:val="18"/>
              </w:rPr>
              <w:t>Reduced greenhouse gas impact</w:t>
            </w:r>
          </w:p>
        </w:tc>
        <w:tc>
          <w:tcPr>
            <w:tcW w:w="1843" w:type="dxa"/>
            <w:tcBorders>
              <w:left w:val="single" w:sz="4" w:space="0" w:color="C0C0C0"/>
              <w:right w:val="single" w:sz="4" w:space="0" w:color="C0C0C0"/>
            </w:tcBorders>
          </w:tcPr>
          <w:p w:rsidR="00000000" w:rsidRDefault="00D35856">
            <w:pPr>
              <w:keepNext w:val="0"/>
              <w:widowControl w:val="0"/>
              <w:spacing w:after="0"/>
              <w:jc w:val="left"/>
              <w:rPr>
                <w:rFonts w:ascii="Arial" w:hAnsi="Arial"/>
                <w:sz w:val="18"/>
              </w:rPr>
            </w:pPr>
            <w:r>
              <w:rPr>
                <w:rFonts w:ascii="Arial" w:hAnsi="Arial"/>
                <w:sz w:val="18"/>
              </w:rPr>
              <w:t>Greenhouse gas intensities</w:t>
            </w:r>
          </w:p>
        </w:tc>
        <w:tc>
          <w:tcPr>
            <w:tcW w:w="2268" w:type="dxa"/>
            <w:tcBorders>
              <w:left w:val="single" w:sz="4" w:space="0" w:color="C0C0C0"/>
              <w:righ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rFonts w:ascii="Arial" w:hAnsi="Arial"/>
                <w:sz w:val="18"/>
              </w:rPr>
            </w:pPr>
            <w:r>
              <w:rPr>
                <w:rFonts w:ascii="Arial" w:hAnsi="Arial"/>
                <w:sz w:val="18"/>
              </w:rPr>
              <w:t xml:space="preserve">Australia-wide weighted greenhouse gas intensities </w:t>
            </w:r>
          </w:p>
        </w:tc>
        <w:tc>
          <w:tcPr>
            <w:tcW w:w="3118" w:type="dxa"/>
            <w:tcBorders>
              <w:left w:val="single" w:sz="4" w:space="0" w:color="C0C0C0"/>
            </w:tcBorders>
          </w:tcPr>
          <w:p w:rsidR="00000000" w:rsidRDefault="00D35856">
            <w:pPr>
              <w:keepNext w:val="0"/>
              <w:widowControl w:val="0"/>
              <w:numPr>
                <w:ilvl w:val="0"/>
                <w:numId w:val="5"/>
              </w:numPr>
              <w:tabs>
                <w:tab w:val="clear" w:pos="720"/>
                <w:tab w:val="num" w:pos="150"/>
              </w:tabs>
              <w:spacing w:after="0"/>
              <w:ind w:left="150" w:hanging="142"/>
              <w:jc w:val="left"/>
              <w:rPr>
                <w:rFonts w:ascii="Arial" w:hAnsi="Arial"/>
                <w:sz w:val="18"/>
              </w:rPr>
            </w:pPr>
            <w:r>
              <w:rPr>
                <w:rFonts w:ascii="Arial" w:hAnsi="Arial"/>
                <w:sz w:val="18"/>
              </w:rPr>
              <w:t>Assume constant (conservative)</w:t>
            </w:r>
          </w:p>
        </w:tc>
      </w:tr>
      <w:tr w:rsidR="00000000">
        <w:trPr>
          <w:cantSplit/>
        </w:trPr>
        <w:tc>
          <w:tcPr>
            <w:tcW w:w="1526" w:type="dxa"/>
            <w:vMerge/>
            <w:tcBorders>
              <w:right w:val="single" w:sz="4" w:space="0" w:color="C0C0C0"/>
            </w:tcBorders>
          </w:tcPr>
          <w:p w:rsidR="00000000" w:rsidRDefault="00D35856">
            <w:pPr>
              <w:keepNext w:val="0"/>
              <w:widowControl w:val="0"/>
              <w:spacing w:after="0"/>
              <w:rPr>
                <w:rFonts w:ascii="Arial" w:hAnsi="Arial"/>
                <w:sz w:val="18"/>
              </w:rPr>
            </w:pPr>
          </w:p>
        </w:tc>
        <w:tc>
          <w:tcPr>
            <w:tcW w:w="1843" w:type="dxa"/>
            <w:tcBorders>
              <w:left w:val="single" w:sz="4" w:space="0" w:color="C0C0C0"/>
              <w:right w:val="single" w:sz="4" w:space="0" w:color="C0C0C0"/>
            </w:tcBorders>
          </w:tcPr>
          <w:p w:rsidR="00000000" w:rsidRDefault="00D35856">
            <w:pPr>
              <w:keepNext w:val="0"/>
              <w:widowControl w:val="0"/>
              <w:spacing w:after="0"/>
              <w:rPr>
                <w:rFonts w:ascii="Arial" w:hAnsi="Arial"/>
                <w:sz w:val="18"/>
              </w:rPr>
            </w:pPr>
            <w:r>
              <w:rPr>
                <w:rFonts w:ascii="Arial" w:hAnsi="Arial"/>
                <w:sz w:val="18"/>
              </w:rPr>
              <w:t>Cost / CO</w:t>
            </w:r>
            <w:r>
              <w:rPr>
                <w:rFonts w:ascii="Arial" w:hAnsi="Arial"/>
                <w:sz w:val="18"/>
                <w:vertAlign w:val="subscript"/>
              </w:rPr>
              <w:t>2</w:t>
            </w:r>
            <w:r>
              <w:rPr>
                <w:rFonts w:ascii="Arial" w:hAnsi="Arial"/>
                <w:sz w:val="18"/>
              </w:rPr>
              <w:t>-e</w:t>
            </w:r>
          </w:p>
        </w:tc>
        <w:tc>
          <w:tcPr>
            <w:tcW w:w="2268" w:type="dxa"/>
            <w:tcBorders>
              <w:left w:val="single" w:sz="4" w:space="0" w:color="C0C0C0"/>
              <w:right w:val="single" w:sz="4" w:space="0" w:color="C0C0C0"/>
            </w:tcBorders>
          </w:tcPr>
          <w:p w:rsidR="00000000" w:rsidRDefault="00D35856">
            <w:pPr>
              <w:keepNext w:val="0"/>
              <w:widowControl w:val="0"/>
              <w:numPr>
                <w:ilvl w:val="0"/>
                <w:numId w:val="5"/>
              </w:numPr>
              <w:tabs>
                <w:tab w:val="clear" w:pos="720"/>
                <w:tab w:val="num" w:pos="150"/>
              </w:tabs>
              <w:spacing w:after="0"/>
              <w:ind w:left="150" w:hanging="142"/>
              <w:rPr>
                <w:rFonts w:ascii="Arial" w:hAnsi="Arial"/>
                <w:sz w:val="18"/>
              </w:rPr>
            </w:pPr>
            <w:r>
              <w:rPr>
                <w:rFonts w:ascii="Arial" w:hAnsi="Arial"/>
                <w:sz w:val="18"/>
              </w:rPr>
              <w:t>Range of costs used</w:t>
            </w:r>
          </w:p>
        </w:tc>
        <w:tc>
          <w:tcPr>
            <w:tcW w:w="3118" w:type="dxa"/>
            <w:tcBorders>
              <w:left w:val="single" w:sz="4" w:space="0" w:color="C0C0C0"/>
            </w:tcBorders>
          </w:tcPr>
          <w:p w:rsidR="00000000" w:rsidRDefault="00D35856">
            <w:pPr>
              <w:keepNext w:val="0"/>
              <w:widowControl w:val="0"/>
              <w:numPr>
                <w:ilvl w:val="0"/>
                <w:numId w:val="5"/>
              </w:numPr>
              <w:tabs>
                <w:tab w:val="clear" w:pos="720"/>
                <w:tab w:val="num" w:pos="150"/>
              </w:tabs>
              <w:spacing w:after="0"/>
              <w:ind w:left="150" w:hanging="142"/>
              <w:rPr>
                <w:rFonts w:ascii="Arial" w:hAnsi="Arial"/>
                <w:sz w:val="18"/>
              </w:rPr>
            </w:pPr>
            <w:r>
              <w:rPr>
                <w:rFonts w:ascii="Arial" w:hAnsi="Arial"/>
                <w:sz w:val="18"/>
              </w:rPr>
              <w:t>Assume constant in real terms (conservative)</w:t>
            </w:r>
          </w:p>
        </w:tc>
      </w:tr>
    </w:tbl>
    <w:p w:rsidR="00000000" w:rsidRDefault="00D35856">
      <w:pPr>
        <w:pStyle w:val="Heading3"/>
        <w:keepNext w:val="0"/>
        <w:numPr>
          <w:ilvl w:val="2"/>
          <w:numId w:val="3"/>
        </w:numPr>
        <w:tabs>
          <w:tab w:val="clear" w:pos="1440"/>
        </w:tabs>
        <w:ind w:left="851" w:hanging="851"/>
        <w:rPr>
          <w:color w:val="auto"/>
        </w:rPr>
      </w:pPr>
      <w:bookmarkStart w:id="137" w:name="_Toc199933746"/>
      <w:r>
        <w:rPr>
          <w:color w:val="auto"/>
        </w:rPr>
        <w:lastRenderedPageBreak/>
        <w:t>Discount rates</w:t>
      </w:r>
      <w:bookmarkEnd w:id="137"/>
    </w:p>
    <w:p w:rsidR="00000000" w:rsidRDefault="00D35856">
      <w:pPr>
        <w:keepNext w:val="0"/>
      </w:pPr>
      <w:r>
        <w:t xml:space="preserve">There is debate about how to choose the appropriate discount rate in benefit-cost analysis, to best reflect how the net costs of public policy or program displace investment, consumption, or a combination of the two. </w:t>
      </w:r>
      <w:smartTag w:uri="urn:schemas-microsoft-com:office:smarttags" w:element="City">
        <w:r>
          <w:t>Harrison</w:t>
        </w:r>
      </w:smartTag>
      <w:r>
        <w:t xml:space="preserve"> (2007), in a presentation </w:t>
      </w:r>
      <w:r>
        <w:t>to the OBPR workshop on choosing the discount rate, noted that:</w:t>
      </w:r>
    </w:p>
    <w:p w:rsidR="00000000" w:rsidRDefault="00D35856">
      <w:pPr>
        <w:pStyle w:val="Bulletpointa"/>
      </w:pPr>
      <w:r>
        <w:t>central agencies choose around 7-10% real (approximately before-tax return on investment – reflecting the opportunity cost of displaced investment)</w:t>
      </w:r>
    </w:p>
    <w:p w:rsidR="00000000" w:rsidRDefault="00D35856">
      <w:pPr>
        <w:pStyle w:val="Bulletpointa"/>
      </w:pPr>
      <w:r>
        <w:t xml:space="preserve">line agencies choose around 3-3.5% real </w:t>
      </w:r>
      <w:r>
        <w:t>(before-tax real government rate)</w:t>
      </w:r>
    </w:p>
    <w:p w:rsidR="00000000" w:rsidRDefault="00D35856">
      <w:pPr>
        <w:pStyle w:val="Bulletpointa"/>
        <w:numPr>
          <w:ilvl w:val="0"/>
          <w:numId w:val="0"/>
        </w:numPr>
      </w:pPr>
      <w:r>
        <w:t xml:space="preserve">Various Australian and state government regulatory agencies provide guidelines about suggested discount rate for benefit-cost analyses. For example, consistent with the observations by </w:t>
      </w:r>
      <w:smartTag w:uri="urn:schemas-microsoft-com:office:smarttags" w:element="City">
        <w:r>
          <w:t>Harrison</w:t>
        </w:r>
      </w:smartTag>
      <w:r>
        <w:t xml:space="preserve"> (2007):</w:t>
      </w:r>
    </w:p>
    <w:p w:rsidR="00000000" w:rsidRDefault="00D35856">
      <w:pPr>
        <w:pStyle w:val="Bulletpointa"/>
      </w:pPr>
      <w:r>
        <w:t>the OBPR sugge</w:t>
      </w:r>
      <w:r>
        <w:t>sts an annual real discount rate of 7% (OBPR 2007), which includes a premium for risk, but that sensitivity analysis should be conducted at higher and lower discount rates</w:t>
      </w:r>
    </w:p>
    <w:p w:rsidR="00000000" w:rsidRDefault="00D35856">
      <w:pPr>
        <w:pStyle w:val="Bulletpointa"/>
      </w:pPr>
      <w:r>
        <w:t>the Victorian Competition and Efficiency Commission recommends the use of the risk</w:t>
      </w:r>
      <w:r>
        <w:t xml:space="preserve">-free opportunity cost of capital, which the Victorian Government Department of Treasury and Finance estimates at 3.5% real (VCEC 2007).  </w:t>
      </w:r>
    </w:p>
    <w:p w:rsidR="00000000" w:rsidRDefault="00D35856">
      <w:pPr>
        <w:keepNext w:val="0"/>
      </w:pPr>
      <w:r>
        <w:t xml:space="preserve">The recent </w:t>
      </w:r>
      <w:r>
        <w:rPr>
          <w:i/>
        </w:rPr>
        <w:t>Stern Review Report on the Economics of Climate Change</w:t>
      </w:r>
      <w:r>
        <w:t xml:space="preserve"> used real discount rates of between 1.6% and 2.1%, </w:t>
      </w:r>
      <w:r>
        <w:t>derived from different economic scenarios. This choice of discount rates has been criticised, because they are significantly lower than those commonly used in public policy evaluation (see, for example, Baker et. al. 2008). However, Quiggen (2006, p.18) in</w:t>
      </w:r>
      <w:r>
        <w:t xml:space="preserve"> a review of the criticisms of Stern’s discounting, concludes that:</w:t>
      </w:r>
    </w:p>
    <w:p w:rsidR="00000000" w:rsidRDefault="00D35856">
      <w:pPr>
        <w:keepNext w:val="0"/>
        <w:ind w:left="284" w:right="276"/>
      </w:pPr>
      <w:r>
        <w:t xml:space="preserve"> “Stern’s choice… is primarily the result of applying the standard utilitarian view that all people count equally. If this view is accepted, the pure rate of time discount, reflecting the </w:t>
      </w:r>
      <w:r>
        <w:t>probability of social extinction, must be close to zero”.</w:t>
      </w:r>
    </w:p>
    <w:p w:rsidR="00000000" w:rsidRDefault="00D35856">
      <w:pPr>
        <w:keepNext w:val="0"/>
      </w:pPr>
      <w:r>
        <w:t>In consultation with DEWHA, all results of cost-benefit analysis are reported at five different discount rates, to reflect the range described above: 1.6%, 3.5%, 4%, 7% and 10%.</w:t>
      </w:r>
    </w:p>
    <w:p w:rsidR="00000000" w:rsidRDefault="00D35856">
      <w:pPr>
        <w:pStyle w:val="Heading2"/>
        <w:numPr>
          <w:ilvl w:val="1"/>
          <w:numId w:val="3"/>
        </w:numPr>
        <w:tabs>
          <w:tab w:val="clear" w:pos="1296"/>
        </w:tabs>
        <w:ind w:left="567" w:hanging="567"/>
        <w:rPr>
          <w:color w:val="auto"/>
        </w:rPr>
      </w:pPr>
      <w:bookmarkStart w:id="138" w:name="_Toc199933747"/>
      <w:smartTag w:uri="urn:schemas-microsoft-com:office:smarttags" w:element="City">
        <w:r>
          <w:rPr>
            <w:color w:val="auto"/>
          </w:rPr>
          <w:t>WELS</w:t>
        </w:r>
      </w:smartTag>
      <w:r>
        <w:rPr>
          <w:color w:val="auto"/>
        </w:rPr>
        <w:t xml:space="preserve"> Administration costs</w:t>
      </w:r>
      <w:bookmarkEnd w:id="138"/>
    </w:p>
    <w:p w:rsidR="00000000" w:rsidRDefault="00D35856">
      <w:pPr>
        <w:keepNext w:val="0"/>
        <w:widowControl w:val="0"/>
      </w:pPr>
      <w:r>
        <w:t xml:space="preserve">There are a number of activities undertaken by DEWHA to develop and administer </w:t>
      </w:r>
      <w:smartTag w:uri="urn:schemas-microsoft-com:office:smarttags" w:element="City">
        <w:r>
          <w:t>WELS</w:t>
        </w:r>
      </w:smartTag>
      <w:r>
        <w:t>. Costs identified in the 2004 RIS (George Wilkenfeld and Associates 2004) include those resulting from:</w:t>
      </w:r>
    </w:p>
    <w:p w:rsidR="00000000" w:rsidRDefault="00D35856">
      <w:pPr>
        <w:pStyle w:val="Bulletpointa"/>
      </w:pPr>
      <w:r>
        <w:t>ongoing promotion and awareness, awards, updating information materials</w:t>
      </w:r>
    </w:p>
    <w:p w:rsidR="00000000" w:rsidRDefault="00D35856">
      <w:pPr>
        <w:pStyle w:val="Bulletpointa"/>
      </w:pPr>
      <w:r>
        <w:t>development of technical standards</w:t>
      </w:r>
    </w:p>
    <w:p w:rsidR="00000000" w:rsidRDefault="00D35856">
      <w:pPr>
        <w:keepNext w:val="0"/>
        <w:widowControl w:val="0"/>
        <w:numPr>
          <w:ilvl w:val="0"/>
          <w:numId w:val="6"/>
        </w:numPr>
        <w:spacing w:after="120"/>
      </w:pPr>
      <w:r>
        <w:t>regulatory, compliance and enforcement activities</w:t>
      </w:r>
    </w:p>
    <w:p w:rsidR="00000000" w:rsidRDefault="00D35856">
      <w:pPr>
        <w:keepNext w:val="0"/>
        <w:widowControl w:val="0"/>
        <w:numPr>
          <w:ilvl w:val="0"/>
          <w:numId w:val="6"/>
        </w:numPr>
        <w:spacing w:after="120"/>
      </w:pPr>
      <w:r>
        <w:t>database website and administration</w:t>
      </w:r>
    </w:p>
    <w:p w:rsidR="00000000" w:rsidRDefault="00D35856">
      <w:pPr>
        <w:keepNext w:val="0"/>
        <w:widowControl w:val="0"/>
        <w:numPr>
          <w:ilvl w:val="0"/>
          <w:numId w:val="6"/>
        </w:numPr>
      </w:pPr>
      <w:r>
        <w:t>staffing and overheads.</w:t>
      </w:r>
    </w:p>
    <w:p w:rsidR="00000000" w:rsidRDefault="00D35856">
      <w:pPr>
        <w:keepNext w:val="0"/>
        <w:widowControl w:val="0"/>
      </w:pPr>
      <w:r>
        <w:t>The key source of data for iden</w:t>
      </w:r>
      <w:r>
        <w:t xml:space="preserve">tifying administration costs is the </w:t>
      </w:r>
      <w:r>
        <w:rPr>
          <w:i/>
        </w:rPr>
        <w:t xml:space="preserve">Review of Cost </w:t>
      </w:r>
      <w:r>
        <w:rPr>
          <w:i/>
        </w:rPr>
        <w:lastRenderedPageBreak/>
        <w:t>Recovery under the Water Efficiency Labelling and Standards (</w:t>
      </w:r>
      <w:smartTag w:uri="urn:schemas-microsoft-com:office:smarttags" w:element="City">
        <w:r>
          <w:rPr>
            <w:i/>
          </w:rPr>
          <w:t>WELS</w:t>
        </w:r>
      </w:smartTag>
      <w:r>
        <w:rPr>
          <w:i/>
        </w:rPr>
        <w:t>) scheme</w:t>
      </w:r>
      <w:r>
        <w:t>, conducted by KPMG (2007) for DEWHA.</w:t>
      </w:r>
    </w:p>
    <w:p w:rsidR="00000000" w:rsidRDefault="00D35856">
      <w:pPr>
        <w:keepNext w:val="0"/>
        <w:widowControl w:val="0"/>
      </w:pPr>
      <w:r>
        <w:t>The accounting of costs differs slightly for cost-recovery and cost-effectiveness anal</w:t>
      </w:r>
      <w:r>
        <w:t>ysis. When assessed from a cost-recovery perspective, not all elements of policy and program design are included in the assessment of total administration costs. However, for the purposes of cost-effectiveness analysis (which is based on assessing whole-of</w:t>
      </w:r>
      <w:r>
        <w:t>-society costs), these have been included.  Other elements required for cost recovery purposes but not included in the cost-effectiveness analysis are interest payments (which are effectively taken into account using the NPV approach for all costs and bene</w:t>
      </w:r>
      <w:r>
        <w:t>fits), and adjustments for inflation (which is not necessary as all analysis is conducted assuming real values – 2007 prices).</w:t>
      </w:r>
    </w:p>
    <w:p w:rsidR="00000000" w:rsidRDefault="00D35856">
      <w:pPr>
        <w:keepNext w:val="0"/>
        <w:widowControl w:val="0"/>
      </w:pPr>
      <w:r>
        <w:t>The actual costs (nominal terms) incurred since the commencement of the scheme in 2003-2004 until 30 September 2007 were $2</w:t>
      </w:r>
      <w:r>
        <w:t> </w:t>
      </w:r>
      <w:r>
        <w:t>332</w:t>
      </w:r>
      <w:r>
        <w:t> </w:t>
      </w:r>
      <w:r>
        <w:t>3</w:t>
      </w:r>
      <w:r>
        <w:t xml:space="preserve">57. A breakdown of scheme costs by activity type (measured or projected) was not available at the time of the study (KPMG 2007). </w:t>
      </w:r>
    </w:p>
    <w:p w:rsidR="00000000" w:rsidRDefault="00D35856">
      <w:pPr>
        <w:keepNext w:val="0"/>
        <w:widowControl w:val="0"/>
      </w:pPr>
      <w:r>
        <w:t>The ongoing administration costs of the scheme, as projected in the 2004 RIS, are $790</w:t>
      </w:r>
      <w:r>
        <w:t> </w:t>
      </w:r>
      <w:r>
        <w:t>000 per year.  However, KPMG (2008) not</w:t>
      </w:r>
      <w:r>
        <w:t>ed that in future years, costs are likely to be higher than those estimated in the RIS because the RIS estimates do not allow for enforcement activities (eg. check-testing of laboratory certificates), which have not yet commenced. DEWHA (January 2008, pers</w:t>
      </w:r>
      <w:r>
        <w:t xml:space="preserve">. comm.) estimates that enforcement activities are likely to cost $100 000 per year from the financial year 2008-2009. </w:t>
      </w:r>
    </w:p>
    <w:p w:rsidR="00000000" w:rsidRDefault="00D35856">
      <w:pPr>
        <w:keepNext w:val="0"/>
        <w:widowControl w:val="0"/>
      </w:pPr>
      <w:r>
        <w:t>Administration costs into the future will also depend on registration numbers and any changes to the existing scheme. The projected cost</w:t>
      </w:r>
      <w:r>
        <w:t xml:space="preserve">s for scheme administration, including breakdown of cost components, is shown in </w:t>
      </w:r>
      <w:fldSimple w:instr=" REF _Ref191007534 \h  \* MERGEFORMAT ">
        <w:r>
          <w:t xml:space="preserve">Table </w:t>
        </w:r>
        <w:r>
          <w:rPr>
            <w:noProof/>
          </w:rPr>
          <w:t>4</w:t>
        </w:r>
        <w:r>
          <w:rPr>
            <w:noProof/>
          </w:rPr>
          <w:noBreakHyphen/>
          <w:t>2</w:t>
        </w:r>
      </w:fldSimple>
      <w:r>
        <w:t>. The activity contributing most to expected costs is an inc</w:t>
      </w:r>
      <w:r>
        <w:t>rease in staffing and overheads, which are expected to increase from 4.0 ASL (average staffing level) in 2007-2008 to 12.0 ASL in 2008-09.</w:t>
      </w:r>
    </w:p>
    <w:p w:rsidR="00000000" w:rsidRDefault="00D35856">
      <w:pPr>
        <w:pStyle w:val="Caption"/>
        <w:keepNext w:val="0"/>
      </w:pPr>
      <w:bookmarkStart w:id="139" w:name="_Ref191007534"/>
      <w:bookmarkStart w:id="140" w:name="_Toc199933795"/>
      <w:r>
        <w:t xml:space="preserve">Table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Table \* ARABIC \s 1 </w:instrText>
      </w:r>
      <w:r>
        <w:fldChar w:fldCharType="separate"/>
      </w:r>
      <w:r>
        <w:rPr>
          <w:noProof/>
        </w:rPr>
        <w:t>2</w:t>
      </w:r>
      <w:r>
        <w:fldChar w:fldCharType="end"/>
      </w:r>
      <w:bookmarkEnd w:id="139"/>
      <w:r>
        <w:t>: Summary of estimated</w:t>
      </w:r>
      <w:r>
        <w:t xml:space="preserve"> </w:t>
      </w:r>
      <w:smartTag w:uri="urn:schemas-microsoft-com:office:smarttags" w:element="City">
        <w:r>
          <w:t>WELS</w:t>
        </w:r>
      </w:smartTag>
      <w:r>
        <w:t xml:space="preserve"> administration costs for 2008-2009.</w:t>
      </w:r>
      <w:bookmarkEnd w:id="140"/>
    </w:p>
    <w:tbl>
      <w:tblPr>
        <w:tblStyle w:val="TableGrid"/>
        <w:tblW w:w="8562" w:type="dxa"/>
        <w:tblBorders>
          <w:insideV w:val="none" w:sz="0" w:space="0" w:color="auto"/>
        </w:tblBorders>
        <w:tblLayout w:type="fixed"/>
        <w:tblLook w:val="01E0"/>
      </w:tblPr>
      <w:tblGrid>
        <w:gridCol w:w="7145"/>
        <w:gridCol w:w="1417"/>
      </w:tblGrid>
      <w:tr w:rsidR="00000000">
        <w:trPr>
          <w:trHeight w:val="218"/>
        </w:trPr>
        <w:tc>
          <w:tcPr>
            <w:tcW w:w="7145" w:type="dxa"/>
            <w:vMerge w:val="restart"/>
            <w:shd w:val="clear" w:color="auto" w:fill="CCCCCC"/>
            <w:tcMar>
              <w:left w:w="57" w:type="dxa"/>
              <w:right w:w="57" w:type="dxa"/>
            </w:tcMar>
          </w:tcPr>
          <w:p w:rsidR="00000000" w:rsidRDefault="00D35856">
            <w:pPr>
              <w:keepNext w:val="0"/>
              <w:widowControl w:val="0"/>
              <w:spacing w:after="0"/>
              <w:rPr>
                <w:rFonts w:ascii="Arial" w:hAnsi="Arial" w:cs="Arial"/>
                <w:b/>
              </w:rPr>
            </w:pPr>
            <w:r>
              <w:rPr>
                <w:rFonts w:ascii="Arial" w:hAnsi="Arial" w:cs="Arial"/>
                <w:b/>
              </w:rPr>
              <w:t>Administration cost component</w:t>
            </w:r>
          </w:p>
        </w:tc>
        <w:tc>
          <w:tcPr>
            <w:tcW w:w="1417" w:type="dxa"/>
            <w:vMerge w:val="restart"/>
            <w:shd w:val="clear" w:color="auto" w:fill="CCCCCC"/>
            <w:tcMar>
              <w:left w:w="57" w:type="dxa"/>
              <w:right w:w="57" w:type="dxa"/>
            </w:tcMar>
          </w:tcPr>
          <w:p w:rsidR="00000000" w:rsidRDefault="00D35856">
            <w:pPr>
              <w:keepNext w:val="0"/>
              <w:widowControl w:val="0"/>
              <w:spacing w:after="0"/>
              <w:rPr>
                <w:rFonts w:ascii="Arial" w:hAnsi="Arial" w:cs="Arial"/>
                <w:b/>
              </w:rPr>
            </w:pPr>
            <w:r>
              <w:rPr>
                <w:rFonts w:ascii="Arial" w:hAnsi="Arial" w:cs="Arial"/>
                <w:b/>
              </w:rPr>
              <w:t>Amount</w:t>
            </w:r>
          </w:p>
        </w:tc>
      </w:tr>
      <w:tr w:rsidR="00000000">
        <w:trPr>
          <w:trHeight w:val="207"/>
        </w:trPr>
        <w:tc>
          <w:tcPr>
            <w:tcW w:w="7145" w:type="dxa"/>
            <w:vMerge/>
            <w:tcMar>
              <w:left w:w="57" w:type="dxa"/>
              <w:right w:w="57" w:type="dxa"/>
            </w:tcMar>
          </w:tcPr>
          <w:p w:rsidR="00000000" w:rsidRDefault="00D35856">
            <w:pPr>
              <w:keepNext w:val="0"/>
              <w:widowControl w:val="0"/>
              <w:spacing w:after="0"/>
              <w:rPr>
                <w:rFonts w:ascii="Arial" w:hAnsi="Arial" w:cs="Arial"/>
                <w:b/>
                <w:sz w:val="18"/>
              </w:rPr>
            </w:pPr>
          </w:p>
        </w:tc>
        <w:tc>
          <w:tcPr>
            <w:tcW w:w="1417" w:type="dxa"/>
            <w:vMerge/>
            <w:tcMar>
              <w:left w:w="57" w:type="dxa"/>
              <w:right w:w="57" w:type="dxa"/>
            </w:tcMar>
          </w:tcPr>
          <w:p w:rsidR="00000000" w:rsidRDefault="00D35856">
            <w:pPr>
              <w:keepNext w:val="0"/>
              <w:widowControl w:val="0"/>
              <w:spacing w:after="0"/>
              <w:rPr>
                <w:rFonts w:ascii="Arial" w:hAnsi="Arial" w:cs="Arial"/>
                <w:sz w:val="18"/>
              </w:rPr>
            </w:pPr>
          </w:p>
        </w:tc>
      </w:tr>
      <w:tr w:rsidR="00000000">
        <w:tc>
          <w:tcPr>
            <w:tcW w:w="7145" w:type="dxa"/>
            <w:tcMar>
              <w:left w:w="57" w:type="dxa"/>
              <w:right w:w="57" w:type="dxa"/>
            </w:tcMar>
          </w:tcPr>
          <w:p w:rsidR="00000000" w:rsidRDefault="00D35856">
            <w:pPr>
              <w:keepNext w:val="0"/>
              <w:widowControl w:val="0"/>
              <w:spacing w:after="0"/>
              <w:rPr>
                <w:rFonts w:ascii="Arial" w:hAnsi="Arial" w:cs="Arial"/>
                <w:sz w:val="18"/>
                <w:szCs w:val="18"/>
              </w:rPr>
            </w:pPr>
            <w:r>
              <w:rPr>
                <w:rFonts w:ascii="Arial" w:hAnsi="Arial" w:cs="Arial"/>
                <w:sz w:val="18"/>
                <w:szCs w:val="18"/>
              </w:rPr>
              <w:t>Ongoing promotion and awareness, awards, updating information materials, etc</w:t>
            </w:r>
          </w:p>
        </w:tc>
        <w:tc>
          <w:tcPr>
            <w:tcW w:w="1417" w:type="dxa"/>
            <w:tcMar>
              <w:left w:w="57" w:type="dxa"/>
              <w:right w:w="57" w:type="dxa"/>
            </w:tcMar>
          </w:tcPr>
          <w:p w:rsidR="00000000" w:rsidRDefault="00D35856">
            <w:pPr>
              <w:keepNext w:val="0"/>
              <w:widowControl w:val="0"/>
              <w:spacing w:after="0"/>
              <w:jc w:val="right"/>
              <w:rPr>
                <w:rFonts w:ascii="Arial" w:hAnsi="Arial" w:cs="Arial"/>
                <w:sz w:val="18"/>
                <w:szCs w:val="18"/>
              </w:rPr>
            </w:pPr>
            <w:r>
              <w:rPr>
                <w:rFonts w:ascii="Arial" w:hAnsi="Arial" w:cs="Arial"/>
                <w:sz w:val="18"/>
                <w:szCs w:val="18"/>
              </w:rPr>
              <w:t>$70</w:t>
            </w:r>
            <w:r>
              <w:rPr>
                <w:rFonts w:cs="Arial"/>
                <w:sz w:val="18"/>
                <w:szCs w:val="18"/>
              </w:rPr>
              <w:t> </w:t>
            </w:r>
            <w:r>
              <w:rPr>
                <w:rFonts w:ascii="Arial" w:hAnsi="Arial" w:cs="Arial"/>
                <w:sz w:val="18"/>
                <w:szCs w:val="18"/>
              </w:rPr>
              <w:t>000</w:t>
            </w:r>
          </w:p>
        </w:tc>
      </w:tr>
      <w:tr w:rsidR="00000000">
        <w:tc>
          <w:tcPr>
            <w:tcW w:w="7145" w:type="dxa"/>
            <w:tcMar>
              <w:left w:w="57" w:type="dxa"/>
              <w:right w:w="57" w:type="dxa"/>
            </w:tcMar>
          </w:tcPr>
          <w:p w:rsidR="00000000" w:rsidRDefault="00D35856">
            <w:pPr>
              <w:keepNext w:val="0"/>
              <w:widowControl w:val="0"/>
              <w:spacing w:after="0"/>
              <w:rPr>
                <w:rFonts w:ascii="Arial" w:hAnsi="Arial" w:cs="Arial"/>
                <w:sz w:val="18"/>
              </w:rPr>
            </w:pPr>
            <w:r>
              <w:rPr>
                <w:rFonts w:ascii="Arial" w:hAnsi="Arial" w:cs="Arial"/>
                <w:sz w:val="18"/>
              </w:rPr>
              <w:t>Development of technical standards</w:t>
            </w:r>
          </w:p>
        </w:tc>
        <w:tc>
          <w:tcPr>
            <w:tcW w:w="1417" w:type="dxa"/>
            <w:tcMar>
              <w:left w:w="57" w:type="dxa"/>
              <w:right w:w="57" w:type="dxa"/>
            </w:tcMar>
          </w:tcPr>
          <w:p w:rsidR="00000000" w:rsidRDefault="00D35856">
            <w:pPr>
              <w:keepNext w:val="0"/>
              <w:widowControl w:val="0"/>
              <w:spacing w:after="0"/>
              <w:jc w:val="right"/>
              <w:rPr>
                <w:rFonts w:ascii="Arial" w:hAnsi="Arial" w:cs="Arial"/>
                <w:sz w:val="18"/>
                <w:szCs w:val="18"/>
              </w:rPr>
            </w:pPr>
            <w:r>
              <w:rPr>
                <w:rFonts w:ascii="Arial" w:hAnsi="Arial" w:cs="Arial"/>
                <w:sz w:val="18"/>
                <w:szCs w:val="18"/>
              </w:rPr>
              <w:t>$85</w:t>
            </w:r>
            <w:r>
              <w:rPr>
                <w:rFonts w:cs="Arial"/>
                <w:sz w:val="18"/>
                <w:szCs w:val="18"/>
              </w:rPr>
              <w:t> </w:t>
            </w:r>
            <w:r>
              <w:rPr>
                <w:rFonts w:ascii="Arial" w:hAnsi="Arial" w:cs="Arial"/>
                <w:sz w:val="18"/>
                <w:szCs w:val="18"/>
              </w:rPr>
              <w:t>000</w:t>
            </w:r>
          </w:p>
        </w:tc>
      </w:tr>
      <w:tr w:rsidR="00000000">
        <w:tc>
          <w:tcPr>
            <w:tcW w:w="7145" w:type="dxa"/>
            <w:tcMar>
              <w:left w:w="57" w:type="dxa"/>
              <w:right w:w="57" w:type="dxa"/>
            </w:tcMar>
          </w:tcPr>
          <w:p w:rsidR="00000000" w:rsidRDefault="00D35856">
            <w:pPr>
              <w:keepNext w:val="0"/>
              <w:widowControl w:val="0"/>
              <w:spacing w:after="0"/>
              <w:rPr>
                <w:rFonts w:ascii="Arial" w:hAnsi="Arial" w:cs="Arial"/>
                <w:sz w:val="18"/>
              </w:rPr>
            </w:pPr>
            <w:r>
              <w:rPr>
                <w:rFonts w:ascii="Arial" w:hAnsi="Arial" w:cs="Arial"/>
                <w:sz w:val="18"/>
              </w:rPr>
              <w:t>Regu</w:t>
            </w:r>
            <w:r>
              <w:rPr>
                <w:rFonts w:ascii="Arial" w:hAnsi="Arial" w:cs="Arial"/>
                <w:sz w:val="18"/>
              </w:rPr>
              <w:t>latory, compliance and enforcement activities - monitoring, inspections, etc</w:t>
            </w:r>
          </w:p>
        </w:tc>
        <w:tc>
          <w:tcPr>
            <w:tcW w:w="1417" w:type="dxa"/>
            <w:tcMar>
              <w:left w:w="57" w:type="dxa"/>
              <w:right w:w="57" w:type="dxa"/>
            </w:tcMar>
          </w:tcPr>
          <w:p w:rsidR="00000000" w:rsidRDefault="00D35856">
            <w:pPr>
              <w:keepNext w:val="0"/>
              <w:widowControl w:val="0"/>
              <w:spacing w:after="0"/>
              <w:jc w:val="right"/>
              <w:rPr>
                <w:rFonts w:ascii="Arial" w:hAnsi="Arial" w:cs="Arial"/>
                <w:sz w:val="18"/>
                <w:szCs w:val="18"/>
              </w:rPr>
            </w:pPr>
            <w:r>
              <w:rPr>
                <w:rFonts w:ascii="Arial" w:hAnsi="Arial" w:cs="Arial"/>
                <w:sz w:val="18"/>
                <w:szCs w:val="18"/>
              </w:rPr>
              <w:t>$60</w:t>
            </w:r>
            <w:r>
              <w:rPr>
                <w:rFonts w:cs="Arial"/>
                <w:sz w:val="18"/>
                <w:szCs w:val="18"/>
              </w:rPr>
              <w:t> </w:t>
            </w:r>
            <w:r>
              <w:rPr>
                <w:rFonts w:ascii="Arial" w:hAnsi="Arial" w:cs="Arial"/>
                <w:sz w:val="18"/>
                <w:szCs w:val="18"/>
              </w:rPr>
              <w:t>000</w:t>
            </w:r>
          </w:p>
        </w:tc>
      </w:tr>
      <w:tr w:rsidR="00000000">
        <w:tc>
          <w:tcPr>
            <w:tcW w:w="7145" w:type="dxa"/>
            <w:tcMar>
              <w:left w:w="57" w:type="dxa"/>
              <w:right w:w="57" w:type="dxa"/>
            </w:tcMar>
          </w:tcPr>
          <w:p w:rsidR="00000000" w:rsidRDefault="00D35856">
            <w:pPr>
              <w:keepNext w:val="0"/>
              <w:widowControl w:val="0"/>
              <w:spacing w:after="0"/>
              <w:rPr>
                <w:rFonts w:ascii="Arial" w:hAnsi="Arial" w:cs="Arial"/>
                <w:sz w:val="18"/>
              </w:rPr>
            </w:pPr>
            <w:r>
              <w:rPr>
                <w:rFonts w:ascii="Arial" w:hAnsi="Arial" w:cs="Arial"/>
                <w:sz w:val="18"/>
              </w:rPr>
              <w:t>Regulatory, compliance and enforcement activities - investigations, prosecutions, etc</w:t>
            </w:r>
          </w:p>
        </w:tc>
        <w:tc>
          <w:tcPr>
            <w:tcW w:w="1417" w:type="dxa"/>
            <w:tcMar>
              <w:left w:w="57" w:type="dxa"/>
              <w:right w:w="57" w:type="dxa"/>
            </w:tcMar>
          </w:tcPr>
          <w:p w:rsidR="00000000" w:rsidRDefault="00D35856">
            <w:pPr>
              <w:keepNext w:val="0"/>
              <w:widowControl w:val="0"/>
              <w:spacing w:after="0"/>
              <w:jc w:val="right"/>
              <w:rPr>
                <w:rFonts w:ascii="Arial" w:hAnsi="Arial" w:cs="Arial"/>
                <w:sz w:val="18"/>
                <w:szCs w:val="18"/>
              </w:rPr>
            </w:pPr>
            <w:r>
              <w:rPr>
                <w:rFonts w:ascii="Arial" w:hAnsi="Arial" w:cs="Arial"/>
                <w:sz w:val="18"/>
                <w:szCs w:val="18"/>
              </w:rPr>
              <w:t>$40</w:t>
            </w:r>
            <w:r>
              <w:rPr>
                <w:rFonts w:cs="Arial"/>
                <w:sz w:val="18"/>
                <w:szCs w:val="18"/>
              </w:rPr>
              <w:t> </w:t>
            </w:r>
            <w:r>
              <w:rPr>
                <w:rFonts w:ascii="Arial" w:hAnsi="Arial" w:cs="Arial"/>
                <w:sz w:val="18"/>
                <w:szCs w:val="18"/>
              </w:rPr>
              <w:t>000</w:t>
            </w:r>
          </w:p>
        </w:tc>
      </w:tr>
      <w:tr w:rsidR="00000000">
        <w:tc>
          <w:tcPr>
            <w:tcW w:w="7145" w:type="dxa"/>
            <w:tcMar>
              <w:left w:w="57" w:type="dxa"/>
              <w:right w:w="57" w:type="dxa"/>
            </w:tcMar>
          </w:tcPr>
          <w:p w:rsidR="00000000" w:rsidRDefault="00D35856">
            <w:pPr>
              <w:keepNext w:val="0"/>
              <w:widowControl w:val="0"/>
              <w:spacing w:after="0"/>
              <w:rPr>
                <w:rFonts w:ascii="Arial" w:hAnsi="Arial" w:cs="Arial"/>
                <w:sz w:val="18"/>
              </w:rPr>
            </w:pPr>
            <w:r>
              <w:rPr>
                <w:rFonts w:ascii="Arial" w:hAnsi="Arial" w:cs="Arial"/>
                <w:sz w:val="18"/>
              </w:rPr>
              <w:t>Database and website and administration</w:t>
            </w:r>
          </w:p>
        </w:tc>
        <w:tc>
          <w:tcPr>
            <w:tcW w:w="1417" w:type="dxa"/>
            <w:tcMar>
              <w:left w:w="57" w:type="dxa"/>
              <w:right w:w="57" w:type="dxa"/>
            </w:tcMar>
          </w:tcPr>
          <w:p w:rsidR="00000000" w:rsidRDefault="00D35856">
            <w:pPr>
              <w:keepNext w:val="0"/>
              <w:widowControl w:val="0"/>
              <w:spacing w:after="0"/>
              <w:jc w:val="right"/>
              <w:rPr>
                <w:rFonts w:ascii="Arial" w:hAnsi="Arial" w:cs="Arial"/>
                <w:sz w:val="18"/>
                <w:szCs w:val="18"/>
              </w:rPr>
            </w:pPr>
            <w:r>
              <w:rPr>
                <w:rFonts w:ascii="Arial" w:hAnsi="Arial" w:cs="Arial"/>
                <w:sz w:val="18"/>
                <w:szCs w:val="18"/>
              </w:rPr>
              <w:t>$95</w:t>
            </w:r>
            <w:r>
              <w:rPr>
                <w:rFonts w:cs="Arial"/>
                <w:sz w:val="18"/>
                <w:szCs w:val="18"/>
              </w:rPr>
              <w:t> </w:t>
            </w:r>
            <w:r>
              <w:rPr>
                <w:rFonts w:ascii="Arial" w:hAnsi="Arial" w:cs="Arial"/>
                <w:sz w:val="18"/>
                <w:szCs w:val="18"/>
              </w:rPr>
              <w:t>000</w:t>
            </w:r>
          </w:p>
        </w:tc>
      </w:tr>
      <w:tr w:rsidR="00000000">
        <w:tc>
          <w:tcPr>
            <w:tcW w:w="7145" w:type="dxa"/>
            <w:tcMar>
              <w:left w:w="57" w:type="dxa"/>
              <w:right w:w="57" w:type="dxa"/>
            </w:tcMar>
          </w:tcPr>
          <w:p w:rsidR="00000000" w:rsidRDefault="00D35856">
            <w:pPr>
              <w:keepNext w:val="0"/>
              <w:widowControl w:val="0"/>
              <w:spacing w:after="0"/>
              <w:rPr>
                <w:rFonts w:ascii="Arial" w:hAnsi="Arial" w:cs="Arial"/>
                <w:sz w:val="18"/>
              </w:rPr>
            </w:pPr>
            <w:r>
              <w:rPr>
                <w:rFonts w:ascii="Arial" w:hAnsi="Arial" w:cs="Arial"/>
                <w:sz w:val="18"/>
              </w:rPr>
              <w:t>Staffing and overheads @ 1</w:t>
            </w:r>
            <w:r>
              <w:rPr>
                <w:rFonts w:ascii="Arial" w:hAnsi="Arial" w:cs="Arial"/>
                <w:sz w:val="18"/>
              </w:rPr>
              <w:t>2.0ASL</w:t>
            </w:r>
          </w:p>
        </w:tc>
        <w:tc>
          <w:tcPr>
            <w:tcW w:w="1417" w:type="dxa"/>
            <w:tcMar>
              <w:left w:w="57" w:type="dxa"/>
              <w:right w:w="57" w:type="dxa"/>
            </w:tcMar>
          </w:tcPr>
          <w:p w:rsidR="00000000" w:rsidRDefault="00D35856">
            <w:pPr>
              <w:keepNext w:val="0"/>
              <w:widowControl w:val="0"/>
              <w:spacing w:after="0"/>
              <w:jc w:val="right"/>
              <w:rPr>
                <w:rFonts w:ascii="Arial" w:hAnsi="Arial" w:cs="Arial"/>
                <w:sz w:val="18"/>
                <w:szCs w:val="18"/>
              </w:rPr>
            </w:pPr>
            <w:r>
              <w:rPr>
                <w:rFonts w:ascii="Arial" w:hAnsi="Arial" w:cs="Arial"/>
                <w:sz w:val="18"/>
                <w:szCs w:val="18"/>
              </w:rPr>
              <w:t>$1</w:t>
            </w:r>
            <w:r>
              <w:rPr>
                <w:rFonts w:cs="Arial"/>
                <w:sz w:val="18"/>
                <w:szCs w:val="18"/>
              </w:rPr>
              <w:t> </w:t>
            </w:r>
            <w:r>
              <w:rPr>
                <w:rFonts w:ascii="Arial" w:hAnsi="Arial" w:cs="Arial"/>
                <w:sz w:val="18"/>
                <w:szCs w:val="18"/>
              </w:rPr>
              <w:t>320</w:t>
            </w:r>
            <w:r>
              <w:rPr>
                <w:rFonts w:cs="Arial"/>
                <w:sz w:val="18"/>
                <w:szCs w:val="18"/>
              </w:rPr>
              <w:t> </w:t>
            </w:r>
            <w:r>
              <w:rPr>
                <w:rFonts w:ascii="Arial" w:hAnsi="Arial" w:cs="Arial"/>
                <w:sz w:val="18"/>
                <w:szCs w:val="18"/>
              </w:rPr>
              <w:t>000</w:t>
            </w:r>
          </w:p>
        </w:tc>
      </w:tr>
      <w:tr w:rsidR="00000000">
        <w:tc>
          <w:tcPr>
            <w:tcW w:w="7145" w:type="dxa"/>
            <w:tcMar>
              <w:left w:w="57" w:type="dxa"/>
              <w:right w:w="57" w:type="dxa"/>
            </w:tcMar>
          </w:tcPr>
          <w:p w:rsidR="00000000" w:rsidRDefault="00D35856">
            <w:pPr>
              <w:keepNext w:val="0"/>
              <w:widowControl w:val="0"/>
              <w:spacing w:after="0"/>
              <w:rPr>
                <w:rFonts w:ascii="Arial" w:hAnsi="Arial" w:cs="Arial"/>
                <w:b/>
                <w:sz w:val="18"/>
              </w:rPr>
            </w:pPr>
            <w:r>
              <w:rPr>
                <w:rFonts w:ascii="Arial" w:hAnsi="Arial" w:cs="Arial"/>
                <w:b/>
                <w:sz w:val="18"/>
              </w:rPr>
              <w:t>Total Year 2008-2009</w:t>
            </w:r>
          </w:p>
        </w:tc>
        <w:tc>
          <w:tcPr>
            <w:tcW w:w="1417" w:type="dxa"/>
            <w:tcMar>
              <w:left w:w="57" w:type="dxa"/>
              <w:right w:w="57" w:type="dxa"/>
            </w:tcMar>
          </w:tcPr>
          <w:p w:rsidR="00000000" w:rsidRDefault="00D35856">
            <w:pPr>
              <w:keepNext w:val="0"/>
              <w:widowControl w:val="0"/>
              <w:spacing w:after="0"/>
              <w:jc w:val="right"/>
              <w:rPr>
                <w:rFonts w:ascii="Arial" w:hAnsi="Arial" w:cs="Arial"/>
                <w:b/>
                <w:sz w:val="18"/>
                <w:szCs w:val="18"/>
              </w:rPr>
            </w:pPr>
            <w:r>
              <w:rPr>
                <w:rFonts w:ascii="Arial" w:hAnsi="Arial" w:cs="Arial"/>
                <w:b/>
                <w:sz w:val="18"/>
                <w:szCs w:val="18"/>
              </w:rPr>
              <w:t>$1</w:t>
            </w:r>
            <w:r>
              <w:rPr>
                <w:rFonts w:cs="Arial"/>
                <w:b/>
                <w:sz w:val="18"/>
                <w:szCs w:val="18"/>
              </w:rPr>
              <w:t> </w:t>
            </w:r>
            <w:r>
              <w:rPr>
                <w:rFonts w:ascii="Arial" w:hAnsi="Arial" w:cs="Arial"/>
                <w:b/>
                <w:sz w:val="18"/>
                <w:szCs w:val="18"/>
              </w:rPr>
              <w:t>670</w:t>
            </w:r>
            <w:r>
              <w:rPr>
                <w:rFonts w:cs="Arial"/>
                <w:b/>
                <w:sz w:val="18"/>
                <w:szCs w:val="18"/>
              </w:rPr>
              <w:t> </w:t>
            </w:r>
            <w:r>
              <w:rPr>
                <w:rFonts w:ascii="Arial" w:hAnsi="Arial" w:cs="Arial"/>
                <w:b/>
                <w:sz w:val="18"/>
                <w:szCs w:val="18"/>
              </w:rPr>
              <w:t>000</w:t>
            </w:r>
          </w:p>
        </w:tc>
      </w:tr>
    </w:tbl>
    <w:p w:rsidR="00000000" w:rsidRDefault="00D35856">
      <w:pPr>
        <w:keepNext w:val="0"/>
        <w:widowControl w:val="0"/>
      </w:pPr>
    </w:p>
    <w:p w:rsidR="00000000" w:rsidRDefault="00D35856">
      <w:pPr>
        <w:keepNext w:val="0"/>
        <w:widowControl w:val="0"/>
      </w:pPr>
      <w:r>
        <w:t xml:space="preserve">A summary of the NPV of administration costs of the scheme, from its commencement in 2003-04 to 2020-21, are in </w:t>
      </w:r>
      <w:r>
        <w:fldChar w:fldCharType="begin"/>
      </w:r>
      <w:r>
        <w:instrText xml:space="preserve"> REF _Ref195349550 \h </w:instrText>
      </w:r>
      <w:r>
        <w:fldChar w:fldCharType="separate"/>
      </w:r>
      <w:r>
        <w:t xml:space="preserve">Table </w:t>
      </w:r>
      <w:r>
        <w:rPr>
          <w:noProof/>
        </w:rPr>
        <w:t>4</w:t>
      </w:r>
      <w:r>
        <w:noBreakHyphen/>
      </w:r>
      <w:r>
        <w:rPr>
          <w:noProof/>
        </w:rPr>
        <w:t>3</w:t>
      </w:r>
      <w:r>
        <w:fldChar w:fldCharType="end"/>
      </w:r>
      <w:r>
        <w:t>.</w:t>
      </w:r>
    </w:p>
    <w:p w:rsidR="00000000" w:rsidRDefault="00D35856">
      <w:pPr>
        <w:pStyle w:val="Caption"/>
        <w:keepNext w:val="0"/>
      </w:pPr>
      <w:bookmarkStart w:id="141" w:name="_Ref188069301"/>
      <w:r>
        <w:br w:type="page"/>
      </w:r>
      <w:bookmarkStart w:id="142" w:name="_Ref195349550"/>
      <w:bookmarkStart w:id="143" w:name="_Toc199933796"/>
      <w:r>
        <w:lastRenderedPageBreak/>
        <w:t xml:space="preserve">Table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Table \* ARABIC \s 1 </w:instrText>
      </w:r>
      <w:r>
        <w:fldChar w:fldCharType="separate"/>
      </w:r>
      <w:r>
        <w:rPr>
          <w:noProof/>
        </w:rPr>
        <w:t>3</w:t>
      </w:r>
      <w:r>
        <w:fldChar w:fldCharType="end"/>
      </w:r>
      <w:bookmarkEnd w:id="141"/>
      <w:bookmarkEnd w:id="142"/>
      <w:r>
        <w:t>: Summary of Net Present Value of administration costs f</w:t>
      </w:r>
      <w:r>
        <w:t xml:space="preserve">or </w:t>
      </w:r>
      <w:smartTag w:uri="urn:schemas-microsoft-com:office:smarttags" w:element="City">
        <w:r>
          <w:t>WELS</w:t>
        </w:r>
      </w:smartTag>
      <w:r>
        <w:t xml:space="preserve"> (2007 dollars)</w:t>
      </w:r>
      <w:bookmarkEnd w:id="143"/>
    </w:p>
    <w:tbl>
      <w:tblPr>
        <w:tblStyle w:val="TableGrid"/>
        <w:tblW w:w="5000" w:type="pct"/>
        <w:tblLook w:val="01E0"/>
      </w:tblPr>
      <w:tblGrid>
        <w:gridCol w:w="1617"/>
        <w:gridCol w:w="2284"/>
        <w:gridCol w:w="1569"/>
        <w:gridCol w:w="1571"/>
        <w:gridCol w:w="1571"/>
      </w:tblGrid>
      <w:tr w:rsidR="00000000">
        <w:trPr>
          <w:trHeight w:val="435"/>
        </w:trPr>
        <w:tc>
          <w:tcPr>
            <w:tcW w:w="939" w:type="pct"/>
            <w:tcBorders>
              <w:right w:val="nil"/>
            </w:tcBorders>
            <w:shd w:val="clear" w:color="auto" w:fill="CCCCCC"/>
            <w:tcMar>
              <w:left w:w="57" w:type="dxa"/>
              <w:right w:w="57" w:type="dxa"/>
            </w:tcMar>
          </w:tcPr>
          <w:p w:rsidR="00000000" w:rsidRDefault="00D35856">
            <w:pPr>
              <w:keepNext w:val="0"/>
              <w:widowControl w:val="0"/>
              <w:spacing w:after="0"/>
              <w:rPr>
                <w:rFonts w:ascii="Arial" w:hAnsi="Arial" w:cs="Arial"/>
              </w:rPr>
            </w:pPr>
          </w:p>
        </w:tc>
        <w:tc>
          <w:tcPr>
            <w:tcW w:w="1326" w:type="pct"/>
            <w:tcBorders>
              <w:left w:val="nil"/>
              <w:right w:val="nil"/>
            </w:tcBorders>
            <w:shd w:val="clear" w:color="auto" w:fill="CCCCCC"/>
            <w:tcMar>
              <w:left w:w="57" w:type="dxa"/>
              <w:right w:w="57" w:type="dxa"/>
            </w:tcMar>
          </w:tcPr>
          <w:p w:rsidR="00000000" w:rsidRDefault="00D35856">
            <w:pPr>
              <w:keepNext w:val="0"/>
              <w:widowControl w:val="0"/>
              <w:spacing w:after="0"/>
              <w:rPr>
                <w:rFonts w:ascii="Arial" w:hAnsi="Arial" w:cs="Arial"/>
                <w:b/>
              </w:rPr>
            </w:pPr>
            <w:r>
              <w:rPr>
                <w:rFonts w:ascii="Arial" w:hAnsi="Arial" w:cs="Arial"/>
                <w:b/>
              </w:rPr>
              <w:t>Costs incurred to date</w:t>
            </w:r>
          </w:p>
        </w:tc>
        <w:tc>
          <w:tcPr>
            <w:tcW w:w="911" w:type="pct"/>
            <w:tcBorders>
              <w:left w:val="nil"/>
              <w:right w:val="nil"/>
            </w:tcBorders>
            <w:shd w:val="clear" w:color="auto" w:fill="CCCCCC"/>
            <w:tcMar>
              <w:left w:w="57" w:type="dxa"/>
              <w:right w:w="57" w:type="dxa"/>
            </w:tcMar>
          </w:tcPr>
          <w:p w:rsidR="00000000" w:rsidRDefault="00D35856">
            <w:pPr>
              <w:keepNext w:val="0"/>
              <w:widowControl w:val="0"/>
              <w:spacing w:after="0"/>
              <w:rPr>
                <w:rFonts w:ascii="Arial" w:hAnsi="Arial" w:cs="Arial"/>
                <w:b/>
              </w:rPr>
            </w:pPr>
            <w:r>
              <w:rPr>
                <w:rFonts w:ascii="Arial" w:hAnsi="Arial" w:cs="Arial"/>
                <w:b/>
              </w:rPr>
              <w:t>Projected (2004 RIS estimates)</w:t>
            </w:r>
          </w:p>
        </w:tc>
        <w:tc>
          <w:tcPr>
            <w:tcW w:w="912" w:type="pct"/>
            <w:tcBorders>
              <w:left w:val="nil"/>
              <w:right w:val="nil"/>
            </w:tcBorders>
            <w:shd w:val="clear" w:color="auto" w:fill="CCCCCC"/>
          </w:tcPr>
          <w:p w:rsidR="00000000" w:rsidRDefault="00D35856">
            <w:pPr>
              <w:keepNext w:val="0"/>
              <w:widowControl w:val="0"/>
              <w:spacing w:after="0"/>
              <w:jc w:val="center"/>
              <w:rPr>
                <w:rFonts w:ascii="Arial" w:hAnsi="Arial" w:cs="Arial"/>
                <w:b/>
              </w:rPr>
            </w:pPr>
            <w:r>
              <w:rPr>
                <w:rFonts w:ascii="Arial" w:hAnsi="Arial" w:cs="Arial"/>
                <w:b/>
              </w:rPr>
              <w:t>Projected (2008 DEWHA estimates)</w:t>
            </w:r>
          </w:p>
        </w:tc>
        <w:tc>
          <w:tcPr>
            <w:tcW w:w="912" w:type="pct"/>
            <w:tcBorders>
              <w:left w:val="nil"/>
            </w:tcBorders>
            <w:shd w:val="clear" w:color="auto" w:fill="CCCCCC"/>
            <w:tcMar>
              <w:left w:w="57" w:type="dxa"/>
              <w:right w:w="57" w:type="dxa"/>
            </w:tcMar>
          </w:tcPr>
          <w:p w:rsidR="00000000" w:rsidRDefault="00D35856">
            <w:pPr>
              <w:keepNext w:val="0"/>
              <w:widowControl w:val="0"/>
              <w:spacing w:after="0"/>
              <w:jc w:val="center"/>
              <w:rPr>
                <w:rFonts w:ascii="Arial" w:hAnsi="Arial" w:cs="Arial"/>
                <w:b/>
              </w:rPr>
            </w:pPr>
            <w:r>
              <w:rPr>
                <w:rFonts w:ascii="Arial" w:hAnsi="Arial" w:cs="Arial"/>
                <w:b/>
              </w:rPr>
              <w:t>Total</w:t>
            </w:r>
          </w:p>
        </w:tc>
      </w:tr>
      <w:tr w:rsidR="00000000">
        <w:tc>
          <w:tcPr>
            <w:tcW w:w="939" w:type="pct"/>
            <w:tcMar>
              <w:left w:w="57" w:type="dxa"/>
              <w:right w:w="57" w:type="dxa"/>
            </w:tcMar>
          </w:tcPr>
          <w:p w:rsidR="00000000" w:rsidRDefault="00D35856">
            <w:pPr>
              <w:keepNext w:val="0"/>
              <w:widowControl w:val="0"/>
              <w:spacing w:after="0"/>
              <w:rPr>
                <w:rFonts w:ascii="Arial" w:hAnsi="Arial" w:cs="Arial"/>
                <w:b/>
                <w:sz w:val="18"/>
                <w:szCs w:val="18"/>
              </w:rPr>
            </w:pPr>
            <w:r>
              <w:rPr>
                <w:rFonts w:ascii="Arial" w:hAnsi="Arial" w:cs="Arial"/>
                <w:b/>
                <w:sz w:val="18"/>
                <w:szCs w:val="18"/>
              </w:rPr>
              <w:t>Source</w:t>
            </w:r>
          </w:p>
        </w:tc>
        <w:tc>
          <w:tcPr>
            <w:tcW w:w="1326" w:type="pct"/>
            <w:tcMar>
              <w:left w:w="57" w:type="dxa"/>
              <w:right w:w="57" w:type="dxa"/>
            </w:tcMar>
          </w:tcPr>
          <w:p w:rsidR="00000000" w:rsidRDefault="00D35856">
            <w:pPr>
              <w:keepNext w:val="0"/>
              <w:widowControl w:val="0"/>
              <w:spacing w:after="0"/>
              <w:rPr>
                <w:rFonts w:ascii="Arial" w:hAnsi="Arial" w:cs="Arial"/>
                <w:sz w:val="18"/>
                <w:szCs w:val="18"/>
              </w:rPr>
            </w:pPr>
            <w:r>
              <w:rPr>
                <w:rFonts w:ascii="Arial" w:hAnsi="Arial" w:cs="Arial"/>
                <w:sz w:val="18"/>
                <w:szCs w:val="18"/>
              </w:rPr>
              <w:t>KPMG (2007). Includes estimation of costs for period Oct 2007 to June 2008.</w:t>
            </w:r>
          </w:p>
        </w:tc>
        <w:tc>
          <w:tcPr>
            <w:tcW w:w="911" w:type="pct"/>
            <w:tcMar>
              <w:left w:w="57" w:type="dxa"/>
              <w:right w:w="57" w:type="dxa"/>
            </w:tcMar>
          </w:tcPr>
          <w:p w:rsidR="00000000" w:rsidRDefault="00D35856">
            <w:pPr>
              <w:keepNext w:val="0"/>
              <w:widowControl w:val="0"/>
              <w:spacing w:after="0"/>
              <w:rPr>
                <w:rFonts w:ascii="Arial" w:hAnsi="Arial" w:cs="Arial"/>
                <w:i/>
                <w:sz w:val="18"/>
                <w:szCs w:val="18"/>
              </w:rPr>
            </w:pPr>
            <w:r>
              <w:rPr>
                <w:rFonts w:ascii="Arial" w:hAnsi="Arial" w:cs="Arial"/>
                <w:i/>
                <w:sz w:val="18"/>
                <w:szCs w:val="18"/>
              </w:rPr>
              <w:t>RIS assumptions (at 2003)</w:t>
            </w:r>
          </w:p>
        </w:tc>
        <w:tc>
          <w:tcPr>
            <w:tcW w:w="912" w:type="pct"/>
          </w:tcPr>
          <w:p w:rsidR="00000000" w:rsidRDefault="00D35856">
            <w:pPr>
              <w:keepNext w:val="0"/>
              <w:widowControl w:val="0"/>
              <w:spacing w:after="0"/>
              <w:rPr>
                <w:rFonts w:ascii="Arial" w:hAnsi="Arial" w:cs="Arial"/>
                <w:sz w:val="18"/>
                <w:szCs w:val="18"/>
              </w:rPr>
            </w:pPr>
            <w:r>
              <w:rPr>
                <w:rFonts w:ascii="Arial" w:hAnsi="Arial" w:cs="Arial"/>
                <w:sz w:val="18"/>
                <w:szCs w:val="18"/>
              </w:rPr>
              <w:t>DEWHA estimates (at 2008)</w:t>
            </w:r>
          </w:p>
        </w:tc>
        <w:tc>
          <w:tcPr>
            <w:tcW w:w="912" w:type="pct"/>
            <w:tcMar>
              <w:left w:w="57" w:type="dxa"/>
              <w:right w:w="57" w:type="dxa"/>
            </w:tcMar>
          </w:tcPr>
          <w:p w:rsidR="00000000" w:rsidRDefault="00D35856">
            <w:pPr>
              <w:keepNext w:val="0"/>
              <w:widowControl w:val="0"/>
              <w:spacing w:after="0"/>
              <w:rPr>
                <w:rFonts w:ascii="Arial" w:hAnsi="Arial" w:cs="Arial"/>
                <w:sz w:val="18"/>
                <w:szCs w:val="18"/>
              </w:rPr>
            </w:pPr>
            <w:r>
              <w:rPr>
                <w:rFonts w:ascii="Arial" w:hAnsi="Arial" w:cs="Arial"/>
                <w:sz w:val="18"/>
                <w:szCs w:val="18"/>
              </w:rPr>
              <w:t>Based on DEWHA estimates</w:t>
            </w:r>
          </w:p>
        </w:tc>
      </w:tr>
      <w:tr w:rsidR="00000000">
        <w:tc>
          <w:tcPr>
            <w:tcW w:w="939" w:type="pct"/>
            <w:tcMar>
              <w:left w:w="57" w:type="dxa"/>
              <w:right w:w="57" w:type="dxa"/>
            </w:tcMar>
          </w:tcPr>
          <w:p w:rsidR="00000000" w:rsidRDefault="00D35856">
            <w:pPr>
              <w:keepNext w:val="0"/>
              <w:widowControl w:val="0"/>
              <w:spacing w:after="0"/>
              <w:rPr>
                <w:rFonts w:ascii="Arial" w:hAnsi="Arial" w:cs="Arial"/>
                <w:b/>
                <w:sz w:val="18"/>
                <w:szCs w:val="18"/>
              </w:rPr>
            </w:pPr>
            <w:r>
              <w:rPr>
                <w:rFonts w:ascii="Arial" w:hAnsi="Arial" w:cs="Arial"/>
                <w:b/>
                <w:sz w:val="18"/>
                <w:szCs w:val="18"/>
              </w:rPr>
              <w:t>Period</w:t>
            </w:r>
          </w:p>
        </w:tc>
        <w:tc>
          <w:tcPr>
            <w:tcW w:w="1326" w:type="pct"/>
            <w:tcMar>
              <w:left w:w="57" w:type="dxa"/>
              <w:right w:w="57" w:type="dxa"/>
            </w:tcMar>
          </w:tcPr>
          <w:p w:rsidR="00000000" w:rsidRDefault="00D35856">
            <w:pPr>
              <w:keepNext w:val="0"/>
              <w:widowControl w:val="0"/>
              <w:spacing w:after="0"/>
              <w:rPr>
                <w:rFonts w:ascii="Arial" w:hAnsi="Arial" w:cs="Arial"/>
                <w:sz w:val="18"/>
                <w:szCs w:val="18"/>
              </w:rPr>
            </w:pPr>
            <w:r>
              <w:rPr>
                <w:rFonts w:ascii="Arial" w:hAnsi="Arial" w:cs="Arial"/>
                <w:sz w:val="18"/>
                <w:szCs w:val="18"/>
              </w:rPr>
              <w:t xml:space="preserve">2003-2004 to </w:t>
            </w:r>
          </w:p>
          <w:p w:rsidR="00000000" w:rsidRDefault="00D35856">
            <w:pPr>
              <w:keepNext w:val="0"/>
              <w:widowControl w:val="0"/>
              <w:spacing w:after="0"/>
              <w:rPr>
                <w:rFonts w:ascii="Arial" w:hAnsi="Arial" w:cs="Arial"/>
                <w:sz w:val="18"/>
                <w:szCs w:val="18"/>
              </w:rPr>
            </w:pPr>
            <w:r>
              <w:rPr>
                <w:rFonts w:ascii="Arial" w:hAnsi="Arial" w:cs="Arial"/>
                <w:sz w:val="18"/>
                <w:szCs w:val="18"/>
              </w:rPr>
              <w:t>2007-2008</w:t>
            </w:r>
          </w:p>
        </w:tc>
        <w:tc>
          <w:tcPr>
            <w:tcW w:w="911" w:type="pct"/>
            <w:tcMar>
              <w:left w:w="57" w:type="dxa"/>
              <w:right w:w="57" w:type="dxa"/>
            </w:tcMar>
          </w:tcPr>
          <w:p w:rsidR="00000000" w:rsidRDefault="00D35856">
            <w:pPr>
              <w:keepNext w:val="0"/>
              <w:widowControl w:val="0"/>
              <w:spacing w:after="0"/>
              <w:rPr>
                <w:rFonts w:ascii="Arial" w:hAnsi="Arial" w:cs="Arial"/>
                <w:sz w:val="18"/>
                <w:szCs w:val="18"/>
              </w:rPr>
            </w:pPr>
            <w:r>
              <w:rPr>
                <w:rFonts w:ascii="Arial" w:hAnsi="Arial" w:cs="Arial"/>
                <w:i/>
                <w:sz w:val="18"/>
                <w:szCs w:val="18"/>
              </w:rPr>
              <w:t>2008-2009 to 2020-2021</w:t>
            </w:r>
          </w:p>
        </w:tc>
        <w:tc>
          <w:tcPr>
            <w:tcW w:w="912" w:type="pct"/>
          </w:tcPr>
          <w:p w:rsidR="00000000" w:rsidRDefault="00D35856">
            <w:pPr>
              <w:keepNext w:val="0"/>
              <w:widowControl w:val="0"/>
              <w:spacing w:after="0"/>
              <w:rPr>
                <w:rFonts w:ascii="Arial" w:hAnsi="Arial" w:cs="Arial"/>
                <w:sz w:val="18"/>
                <w:szCs w:val="18"/>
              </w:rPr>
            </w:pPr>
            <w:r>
              <w:rPr>
                <w:rFonts w:ascii="Arial" w:hAnsi="Arial" w:cs="Arial"/>
                <w:sz w:val="18"/>
                <w:szCs w:val="18"/>
              </w:rPr>
              <w:t>2008-2009 to 2020-2021</w:t>
            </w:r>
          </w:p>
        </w:tc>
        <w:tc>
          <w:tcPr>
            <w:tcW w:w="912" w:type="pct"/>
            <w:tcMar>
              <w:left w:w="57" w:type="dxa"/>
              <w:right w:w="57" w:type="dxa"/>
            </w:tcMar>
          </w:tcPr>
          <w:p w:rsidR="00000000" w:rsidRDefault="00D35856">
            <w:pPr>
              <w:keepNext w:val="0"/>
              <w:widowControl w:val="0"/>
              <w:spacing w:after="0"/>
              <w:rPr>
                <w:rFonts w:ascii="Arial" w:hAnsi="Arial" w:cs="Arial"/>
                <w:sz w:val="18"/>
                <w:szCs w:val="18"/>
              </w:rPr>
            </w:pPr>
            <w:r>
              <w:rPr>
                <w:rFonts w:ascii="Arial" w:hAnsi="Arial" w:cs="Arial"/>
                <w:sz w:val="18"/>
                <w:szCs w:val="18"/>
              </w:rPr>
              <w:t>2003-2004 to 2020-2021</w:t>
            </w:r>
          </w:p>
        </w:tc>
      </w:tr>
      <w:tr w:rsidR="00000000">
        <w:tc>
          <w:tcPr>
            <w:tcW w:w="939" w:type="pct"/>
            <w:tcMar>
              <w:left w:w="57" w:type="dxa"/>
              <w:right w:w="57" w:type="dxa"/>
            </w:tcMar>
          </w:tcPr>
          <w:p w:rsidR="00000000" w:rsidRDefault="00D35856">
            <w:pPr>
              <w:keepNext w:val="0"/>
              <w:widowControl w:val="0"/>
              <w:spacing w:after="0"/>
              <w:rPr>
                <w:rFonts w:ascii="Arial" w:hAnsi="Arial" w:cs="Arial"/>
                <w:b/>
                <w:sz w:val="18"/>
                <w:szCs w:val="18"/>
              </w:rPr>
            </w:pPr>
            <w:r>
              <w:rPr>
                <w:rFonts w:ascii="Arial" w:hAnsi="Arial" w:cs="Arial"/>
                <w:b/>
                <w:sz w:val="18"/>
                <w:szCs w:val="18"/>
              </w:rPr>
              <w:t>$</w:t>
            </w:r>
          </w:p>
        </w:tc>
        <w:tc>
          <w:tcPr>
            <w:tcW w:w="1326" w:type="pct"/>
            <w:tcMar>
              <w:left w:w="57" w:type="dxa"/>
              <w:right w:w="57" w:type="dxa"/>
            </w:tcMar>
          </w:tcPr>
          <w:p w:rsidR="00000000" w:rsidRDefault="00D35856">
            <w:pPr>
              <w:keepNext w:val="0"/>
              <w:widowControl w:val="0"/>
              <w:spacing w:after="0"/>
              <w:rPr>
                <w:rFonts w:ascii="Arial" w:hAnsi="Arial" w:cs="Arial"/>
                <w:sz w:val="18"/>
                <w:szCs w:val="18"/>
              </w:rPr>
            </w:pPr>
            <w:r>
              <w:rPr>
                <w:rFonts w:ascii="Arial" w:hAnsi="Arial" w:cs="Arial"/>
                <w:sz w:val="18"/>
                <w:szCs w:val="18"/>
              </w:rPr>
              <w:t>$406</w:t>
            </w:r>
            <w:r>
              <w:rPr>
                <w:rFonts w:cs="Arial"/>
                <w:sz w:val="18"/>
                <w:szCs w:val="18"/>
              </w:rPr>
              <w:t> </w:t>
            </w:r>
            <w:r>
              <w:rPr>
                <w:rFonts w:ascii="Arial" w:hAnsi="Arial" w:cs="Arial"/>
                <w:sz w:val="18"/>
                <w:szCs w:val="18"/>
              </w:rPr>
              <w:t>084 (2004 - 2005)</w:t>
            </w:r>
          </w:p>
          <w:p w:rsidR="00000000" w:rsidRDefault="00D35856">
            <w:pPr>
              <w:keepNext w:val="0"/>
              <w:widowControl w:val="0"/>
              <w:spacing w:after="0"/>
              <w:rPr>
                <w:rFonts w:ascii="Arial" w:hAnsi="Arial" w:cs="Arial"/>
                <w:sz w:val="18"/>
                <w:szCs w:val="18"/>
              </w:rPr>
            </w:pPr>
            <w:r>
              <w:rPr>
                <w:rFonts w:ascii="Arial" w:hAnsi="Arial" w:cs="Arial"/>
                <w:sz w:val="18"/>
                <w:szCs w:val="18"/>
              </w:rPr>
              <w:t>$656</w:t>
            </w:r>
            <w:r>
              <w:rPr>
                <w:rFonts w:cs="Arial"/>
                <w:sz w:val="18"/>
                <w:szCs w:val="18"/>
              </w:rPr>
              <w:t> </w:t>
            </w:r>
            <w:r>
              <w:rPr>
                <w:rFonts w:ascii="Arial" w:hAnsi="Arial" w:cs="Arial"/>
                <w:sz w:val="18"/>
                <w:szCs w:val="18"/>
              </w:rPr>
              <w:t>095 (2005 - 2006)</w:t>
            </w:r>
          </w:p>
          <w:p w:rsidR="00000000" w:rsidRDefault="00D35856">
            <w:pPr>
              <w:keepNext w:val="0"/>
              <w:widowControl w:val="0"/>
              <w:spacing w:after="0"/>
              <w:rPr>
                <w:rFonts w:ascii="Arial" w:hAnsi="Arial" w:cs="Arial"/>
                <w:sz w:val="18"/>
                <w:szCs w:val="18"/>
              </w:rPr>
            </w:pPr>
            <w:r>
              <w:rPr>
                <w:rFonts w:ascii="Arial" w:hAnsi="Arial" w:cs="Arial"/>
                <w:sz w:val="18"/>
                <w:szCs w:val="18"/>
              </w:rPr>
              <w:t>$1</w:t>
            </w:r>
            <w:r>
              <w:rPr>
                <w:rFonts w:cs="Arial"/>
                <w:sz w:val="18"/>
                <w:szCs w:val="18"/>
              </w:rPr>
              <w:t> </w:t>
            </w:r>
            <w:r>
              <w:rPr>
                <w:rFonts w:ascii="Arial" w:hAnsi="Arial" w:cs="Arial"/>
                <w:sz w:val="18"/>
                <w:szCs w:val="18"/>
              </w:rPr>
              <w:t>051</w:t>
            </w:r>
            <w:r>
              <w:rPr>
                <w:rFonts w:cs="Arial"/>
                <w:sz w:val="18"/>
                <w:szCs w:val="18"/>
              </w:rPr>
              <w:t> </w:t>
            </w:r>
            <w:r>
              <w:rPr>
                <w:rFonts w:ascii="Arial" w:hAnsi="Arial" w:cs="Arial"/>
                <w:sz w:val="18"/>
                <w:szCs w:val="18"/>
              </w:rPr>
              <w:t>521 (2006 - 2007)</w:t>
            </w:r>
          </w:p>
        </w:tc>
        <w:tc>
          <w:tcPr>
            <w:tcW w:w="911" w:type="pct"/>
            <w:tcMar>
              <w:left w:w="57" w:type="dxa"/>
              <w:right w:w="57" w:type="dxa"/>
            </w:tcMar>
          </w:tcPr>
          <w:p w:rsidR="00000000" w:rsidRDefault="00D35856">
            <w:pPr>
              <w:keepNext w:val="0"/>
              <w:widowControl w:val="0"/>
              <w:spacing w:after="0"/>
              <w:rPr>
                <w:rFonts w:ascii="Arial" w:hAnsi="Arial" w:cs="Arial"/>
                <w:sz w:val="18"/>
                <w:szCs w:val="18"/>
              </w:rPr>
            </w:pPr>
            <w:r>
              <w:rPr>
                <w:rFonts w:ascii="Arial" w:hAnsi="Arial" w:cs="Arial"/>
                <w:i/>
                <w:sz w:val="18"/>
                <w:szCs w:val="18"/>
              </w:rPr>
              <w:t>$790</w:t>
            </w:r>
            <w:r>
              <w:rPr>
                <w:rFonts w:cs="Arial"/>
                <w:i/>
                <w:sz w:val="18"/>
                <w:szCs w:val="18"/>
              </w:rPr>
              <w:t> </w:t>
            </w:r>
            <w:r>
              <w:rPr>
                <w:rFonts w:ascii="Arial" w:hAnsi="Arial" w:cs="Arial"/>
                <w:i/>
                <w:sz w:val="18"/>
                <w:szCs w:val="18"/>
              </w:rPr>
              <w:t>000 per year</w:t>
            </w:r>
          </w:p>
        </w:tc>
        <w:tc>
          <w:tcPr>
            <w:tcW w:w="912" w:type="pct"/>
          </w:tcPr>
          <w:p w:rsidR="00000000" w:rsidRDefault="00D35856">
            <w:pPr>
              <w:keepNext w:val="0"/>
              <w:widowControl w:val="0"/>
              <w:spacing w:after="0"/>
              <w:rPr>
                <w:rFonts w:ascii="Arial" w:hAnsi="Arial" w:cs="Arial"/>
                <w:sz w:val="18"/>
                <w:szCs w:val="18"/>
              </w:rPr>
            </w:pPr>
            <w:r>
              <w:rPr>
                <w:rFonts w:ascii="Arial" w:hAnsi="Arial" w:cs="Arial"/>
                <w:sz w:val="18"/>
                <w:szCs w:val="18"/>
              </w:rPr>
              <w:t>$1</w:t>
            </w:r>
            <w:r>
              <w:rPr>
                <w:rFonts w:cs="Arial"/>
                <w:sz w:val="18"/>
                <w:szCs w:val="18"/>
              </w:rPr>
              <w:t> </w:t>
            </w:r>
            <w:r>
              <w:rPr>
                <w:rFonts w:ascii="Arial" w:hAnsi="Arial" w:cs="Arial"/>
                <w:sz w:val="18"/>
                <w:szCs w:val="18"/>
              </w:rPr>
              <w:t>670</w:t>
            </w:r>
            <w:r>
              <w:rPr>
                <w:rFonts w:cs="Arial"/>
                <w:sz w:val="18"/>
                <w:szCs w:val="18"/>
              </w:rPr>
              <w:t> </w:t>
            </w:r>
            <w:r>
              <w:rPr>
                <w:rFonts w:ascii="Arial" w:hAnsi="Arial" w:cs="Arial"/>
                <w:sz w:val="18"/>
                <w:szCs w:val="18"/>
              </w:rPr>
              <w:t>000 per year</w:t>
            </w:r>
          </w:p>
        </w:tc>
        <w:tc>
          <w:tcPr>
            <w:tcW w:w="912" w:type="pct"/>
            <w:tcMar>
              <w:left w:w="57" w:type="dxa"/>
              <w:right w:w="57" w:type="dxa"/>
            </w:tcMar>
          </w:tcPr>
          <w:p w:rsidR="00000000" w:rsidRDefault="00D35856">
            <w:pPr>
              <w:keepNext w:val="0"/>
              <w:widowControl w:val="0"/>
              <w:spacing w:after="0"/>
              <w:rPr>
                <w:rFonts w:ascii="Arial" w:hAnsi="Arial" w:cs="Arial"/>
                <w:sz w:val="18"/>
                <w:szCs w:val="18"/>
              </w:rPr>
            </w:pPr>
          </w:p>
        </w:tc>
      </w:tr>
      <w:tr w:rsidR="00000000">
        <w:tc>
          <w:tcPr>
            <w:tcW w:w="2265" w:type="pct"/>
            <w:gridSpan w:val="2"/>
            <w:tcBorders>
              <w:bottom w:val="nil"/>
            </w:tcBorders>
            <w:tcMar>
              <w:left w:w="57" w:type="dxa"/>
              <w:right w:w="57" w:type="dxa"/>
            </w:tcMar>
          </w:tcPr>
          <w:p w:rsidR="00000000" w:rsidRDefault="00D35856">
            <w:pPr>
              <w:keepNext w:val="0"/>
              <w:widowControl w:val="0"/>
              <w:spacing w:after="0"/>
              <w:rPr>
                <w:rFonts w:ascii="Arial" w:hAnsi="Arial" w:cs="Arial"/>
                <w:b/>
                <w:sz w:val="18"/>
                <w:szCs w:val="18"/>
              </w:rPr>
            </w:pPr>
            <w:r>
              <w:rPr>
                <w:rFonts w:ascii="Arial" w:hAnsi="Arial" w:cs="Arial"/>
                <w:b/>
                <w:sz w:val="18"/>
                <w:szCs w:val="18"/>
              </w:rPr>
              <w:t>NPV ($000) at discount rate</w:t>
            </w:r>
          </w:p>
        </w:tc>
        <w:tc>
          <w:tcPr>
            <w:tcW w:w="911" w:type="pct"/>
            <w:tcBorders>
              <w:bottom w:val="nil"/>
            </w:tcBorders>
            <w:tcMar>
              <w:left w:w="57" w:type="dxa"/>
              <w:right w:w="57" w:type="dxa"/>
            </w:tcMar>
          </w:tcPr>
          <w:p w:rsidR="00000000" w:rsidRDefault="00D35856">
            <w:pPr>
              <w:keepNext w:val="0"/>
              <w:widowControl w:val="0"/>
              <w:spacing w:after="0"/>
              <w:rPr>
                <w:rFonts w:ascii="Arial" w:hAnsi="Arial" w:cs="Arial"/>
                <w:sz w:val="18"/>
                <w:szCs w:val="18"/>
              </w:rPr>
            </w:pPr>
          </w:p>
        </w:tc>
        <w:tc>
          <w:tcPr>
            <w:tcW w:w="912" w:type="pct"/>
            <w:tcBorders>
              <w:bottom w:val="nil"/>
            </w:tcBorders>
          </w:tcPr>
          <w:p w:rsidR="00000000" w:rsidRDefault="00D35856">
            <w:pPr>
              <w:keepNext w:val="0"/>
              <w:widowControl w:val="0"/>
              <w:spacing w:after="0"/>
              <w:rPr>
                <w:rFonts w:ascii="Arial" w:hAnsi="Arial" w:cs="Arial"/>
                <w:sz w:val="18"/>
                <w:szCs w:val="18"/>
              </w:rPr>
            </w:pPr>
          </w:p>
        </w:tc>
        <w:tc>
          <w:tcPr>
            <w:tcW w:w="912" w:type="pct"/>
            <w:tcBorders>
              <w:bottom w:val="nil"/>
            </w:tcBorders>
            <w:tcMar>
              <w:left w:w="57" w:type="dxa"/>
              <w:right w:w="57" w:type="dxa"/>
            </w:tcMar>
          </w:tcPr>
          <w:p w:rsidR="00000000" w:rsidRDefault="00D35856">
            <w:pPr>
              <w:keepNext w:val="0"/>
              <w:widowControl w:val="0"/>
              <w:spacing w:after="0"/>
              <w:rPr>
                <w:rFonts w:ascii="Arial" w:hAnsi="Arial" w:cs="Arial"/>
                <w:sz w:val="18"/>
                <w:szCs w:val="18"/>
              </w:rPr>
            </w:pPr>
          </w:p>
        </w:tc>
      </w:tr>
      <w:tr w:rsidR="00000000">
        <w:tc>
          <w:tcPr>
            <w:tcW w:w="939" w:type="pct"/>
            <w:tcBorders>
              <w:top w:val="nil"/>
              <w:bottom w:val="nil"/>
            </w:tcBorders>
            <w:tcMar>
              <w:left w:w="57" w:type="dxa"/>
              <w:right w:w="57" w:type="dxa"/>
            </w:tcMar>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1.6%</w:t>
            </w:r>
          </w:p>
        </w:tc>
        <w:tc>
          <w:tcPr>
            <w:tcW w:w="1326" w:type="pct"/>
            <w:tcBorders>
              <w:top w:val="nil"/>
              <w:bottom w:val="nil"/>
            </w:tcBorders>
            <w:tcMar>
              <w:left w:w="57" w:type="dxa"/>
              <w:right w:w="57" w:type="dxa"/>
            </w:tcMar>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$2</w:t>
            </w:r>
            <w:r>
              <w:rPr>
                <w:rFonts w:cs="Arial"/>
                <w:sz w:val="18"/>
                <w:szCs w:val="18"/>
              </w:rPr>
              <w:t> </w:t>
            </w:r>
            <w:r>
              <w:rPr>
                <w:rFonts w:ascii="Arial" w:hAnsi="Arial" w:cs="Arial"/>
                <w:sz w:val="18"/>
                <w:szCs w:val="18"/>
              </w:rPr>
              <w:t>137</w:t>
            </w:r>
          </w:p>
        </w:tc>
        <w:tc>
          <w:tcPr>
            <w:tcW w:w="911" w:type="pct"/>
            <w:tcBorders>
              <w:top w:val="nil"/>
              <w:bottom w:val="nil"/>
            </w:tcBorders>
            <w:tcMar>
              <w:left w:w="57" w:type="dxa"/>
              <w:right w:w="57" w:type="dxa"/>
            </w:tcMar>
          </w:tcPr>
          <w:p w:rsidR="00000000" w:rsidRDefault="00D35856">
            <w:pPr>
              <w:keepNext w:val="0"/>
              <w:widowControl w:val="0"/>
              <w:spacing w:after="40"/>
              <w:jc w:val="right"/>
              <w:rPr>
                <w:rFonts w:ascii="Arial" w:hAnsi="Arial" w:cs="Arial"/>
                <w:sz w:val="18"/>
                <w:szCs w:val="18"/>
              </w:rPr>
            </w:pPr>
            <w:r>
              <w:rPr>
                <w:rFonts w:ascii="Arial" w:hAnsi="Arial" w:cs="Arial"/>
                <w:i/>
                <w:sz w:val="18"/>
                <w:szCs w:val="18"/>
              </w:rPr>
              <w:t>$9</w:t>
            </w:r>
            <w:r>
              <w:rPr>
                <w:rFonts w:cs="Arial"/>
                <w:i/>
                <w:sz w:val="18"/>
                <w:szCs w:val="18"/>
              </w:rPr>
              <w:t> </w:t>
            </w:r>
            <w:r>
              <w:rPr>
                <w:rFonts w:ascii="Arial" w:hAnsi="Arial" w:cs="Arial"/>
                <w:i/>
                <w:sz w:val="18"/>
                <w:szCs w:val="18"/>
              </w:rPr>
              <w:t>921</w:t>
            </w:r>
          </w:p>
        </w:tc>
        <w:tc>
          <w:tcPr>
            <w:tcW w:w="912" w:type="pct"/>
            <w:tcBorders>
              <w:top w:val="nil"/>
              <w:bottom w:val="nil"/>
            </w:tcBorders>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$20</w:t>
            </w:r>
            <w:r>
              <w:rPr>
                <w:rFonts w:cs="Arial"/>
                <w:sz w:val="18"/>
                <w:szCs w:val="18"/>
              </w:rPr>
              <w:t> </w:t>
            </w:r>
            <w:r>
              <w:rPr>
                <w:rFonts w:ascii="Arial" w:hAnsi="Arial" w:cs="Arial"/>
                <w:sz w:val="18"/>
                <w:szCs w:val="18"/>
              </w:rPr>
              <w:t>015</w:t>
            </w:r>
          </w:p>
        </w:tc>
        <w:tc>
          <w:tcPr>
            <w:tcW w:w="912" w:type="pct"/>
            <w:tcBorders>
              <w:top w:val="nil"/>
              <w:bottom w:val="nil"/>
            </w:tcBorders>
            <w:tcMar>
              <w:left w:w="57" w:type="dxa"/>
              <w:right w:w="57" w:type="dxa"/>
            </w:tcMar>
          </w:tcPr>
          <w:p w:rsidR="00000000" w:rsidRDefault="00D35856">
            <w:pPr>
              <w:keepNext w:val="0"/>
              <w:widowControl w:val="0"/>
              <w:spacing w:after="40"/>
              <w:jc w:val="right"/>
              <w:rPr>
                <w:rFonts w:ascii="Arial" w:hAnsi="Arial" w:cs="Arial"/>
                <w:b/>
              </w:rPr>
            </w:pPr>
            <w:r>
              <w:rPr>
                <w:rFonts w:ascii="Arial" w:hAnsi="Arial" w:cs="Arial"/>
                <w:b/>
              </w:rPr>
              <w:t>$22</w:t>
            </w:r>
            <w:r>
              <w:rPr>
                <w:rFonts w:cs="Arial"/>
                <w:b/>
              </w:rPr>
              <w:t> </w:t>
            </w:r>
            <w:r>
              <w:rPr>
                <w:rFonts w:ascii="Arial" w:hAnsi="Arial" w:cs="Arial"/>
                <w:b/>
              </w:rPr>
              <w:t>152</w:t>
            </w:r>
          </w:p>
        </w:tc>
      </w:tr>
      <w:tr w:rsidR="00000000">
        <w:tc>
          <w:tcPr>
            <w:tcW w:w="939" w:type="pct"/>
            <w:tcBorders>
              <w:top w:val="nil"/>
              <w:bottom w:val="nil"/>
            </w:tcBorders>
            <w:tcMar>
              <w:left w:w="57" w:type="dxa"/>
              <w:right w:w="57" w:type="dxa"/>
            </w:tcMar>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3.5%</w:t>
            </w:r>
          </w:p>
        </w:tc>
        <w:tc>
          <w:tcPr>
            <w:tcW w:w="1326" w:type="pct"/>
            <w:tcBorders>
              <w:top w:val="nil"/>
              <w:bottom w:val="nil"/>
            </w:tcBorders>
            <w:tcMar>
              <w:left w:w="57" w:type="dxa"/>
              <w:right w:w="57" w:type="dxa"/>
            </w:tcMar>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$2</w:t>
            </w:r>
            <w:r>
              <w:rPr>
                <w:rFonts w:cs="Arial"/>
                <w:sz w:val="18"/>
                <w:szCs w:val="18"/>
              </w:rPr>
              <w:t> </w:t>
            </w:r>
            <w:r>
              <w:rPr>
                <w:rFonts w:ascii="Arial" w:hAnsi="Arial" w:cs="Arial"/>
                <w:sz w:val="18"/>
                <w:szCs w:val="18"/>
              </w:rPr>
              <w:t>165</w:t>
            </w:r>
          </w:p>
        </w:tc>
        <w:tc>
          <w:tcPr>
            <w:tcW w:w="911" w:type="pct"/>
            <w:tcBorders>
              <w:top w:val="nil"/>
              <w:bottom w:val="nil"/>
            </w:tcBorders>
            <w:tcMar>
              <w:left w:w="57" w:type="dxa"/>
              <w:right w:w="57" w:type="dxa"/>
            </w:tcMar>
          </w:tcPr>
          <w:p w:rsidR="00000000" w:rsidRDefault="00D35856">
            <w:pPr>
              <w:keepNext w:val="0"/>
              <w:widowControl w:val="0"/>
              <w:spacing w:after="40"/>
              <w:jc w:val="right"/>
              <w:rPr>
                <w:rFonts w:ascii="Arial" w:hAnsi="Arial" w:cs="Arial"/>
                <w:i/>
                <w:sz w:val="18"/>
                <w:szCs w:val="18"/>
              </w:rPr>
            </w:pPr>
            <w:r>
              <w:rPr>
                <w:rFonts w:ascii="Arial" w:hAnsi="Arial" w:cs="Arial"/>
                <w:i/>
                <w:sz w:val="18"/>
                <w:szCs w:val="18"/>
              </w:rPr>
              <w:t>$8</w:t>
            </w:r>
            <w:r>
              <w:rPr>
                <w:rFonts w:cs="Arial"/>
                <w:i/>
                <w:sz w:val="18"/>
                <w:szCs w:val="18"/>
              </w:rPr>
              <w:t> </w:t>
            </w:r>
            <w:r>
              <w:rPr>
                <w:rFonts w:ascii="Arial" w:hAnsi="Arial" w:cs="Arial"/>
                <w:i/>
                <w:sz w:val="18"/>
                <w:szCs w:val="18"/>
              </w:rPr>
              <w:t>708</w:t>
            </w:r>
          </w:p>
        </w:tc>
        <w:tc>
          <w:tcPr>
            <w:tcW w:w="912" w:type="pct"/>
            <w:tcBorders>
              <w:top w:val="nil"/>
              <w:bottom w:val="nil"/>
            </w:tcBorders>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$17</w:t>
            </w:r>
            <w:r>
              <w:rPr>
                <w:rFonts w:cs="Arial"/>
                <w:sz w:val="18"/>
                <w:szCs w:val="18"/>
              </w:rPr>
              <w:t> </w:t>
            </w:r>
            <w:r>
              <w:rPr>
                <w:rFonts w:ascii="Arial" w:hAnsi="Arial" w:cs="Arial"/>
                <w:sz w:val="18"/>
                <w:szCs w:val="18"/>
              </w:rPr>
              <w:t>468</w:t>
            </w:r>
          </w:p>
        </w:tc>
        <w:tc>
          <w:tcPr>
            <w:tcW w:w="912" w:type="pct"/>
            <w:tcBorders>
              <w:top w:val="nil"/>
              <w:bottom w:val="nil"/>
            </w:tcBorders>
            <w:tcMar>
              <w:left w:w="57" w:type="dxa"/>
              <w:right w:w="57" w:type="dxa"/>
            </w:tcMar>
          </w:tcPr>
          <w:p w:rsidR="00000000" w:rsidRDefault="00D35856">
            <w:pPr>
              <w:keepNext w:val="0"/>
              <w:widowControl w:val="0"/>
              <w:spacing w:after="40"/>
              <w:jc w:val="right"/>
              <w:rPr>
                <w:rFonts w:ascii="Arial" w:hAnsi="Arial" w:cs="Arial"/>
                <w:b/>
              </w:rPr>
            </w:pPr>
            <w:r>
              <w:rPr>
                <w:rFonts w:ascii="Arial" w:hAnsi="Arial" w:cs="Arial"/>
                <w:b/>
              </w:rPr>
              <w:t>$19</w:t>
            </w:r>
            <w:r>
              <w:rPr>
                <w:rFonts w:cs="Arial"/>
                <w:b/>
              </w:rPr>
              <w:t> </w:t>
            </w:r>
            <w:r>
              <w:rPr>
                <w:rFonts w:ascii="Arial" w:hAnsi="Arial" w:cs="Arial"/>
                <w:b/>
              </w:rPr>
              <w:t>633</w:t>
            </w:r>
          </w:p>
        </w:tc>
      </w:tr>
      <w:tr w:rsidR="00000000">
        <w:tc>
          <w:tcPr>
            <w:tcW w:w="939" w:type="pct"/>
            <w:tcBorders>
              <w:top w:val="nil"/>
              <w:bottom w:val="nil"/>
            </w:tcBorders>
            <w:tcMar>
              <w:left w:w="57" w:type="dxa"/>
              <w:right w:w="57" w:type="dxa"/>
            </w:tcMar>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4%</w:t>
            </w:r>
          </w:p>
        </w:tc>
        <w:tc>
          <w:tcPr>
            <w:tcW w:w="1326" w:type="pct"/>
            <w:tcBorders>
              <w:top w:val="nil"/>
              <w:bottom w:val="nil"/>
            </w:tcBorders>
            <w:tcMar>
              <w:left w:w="57" w:type="dxa"/>
              <w:right w:w="57" w:type="dxa"/>
            </w:tcMar>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$2</w:t>
            </w:r>
            <w:r>
              <w:rPr>
                <w:rFonts w:cs="Arial"/>
                <w:sz w:val="18"/>
                <w:szCs w:val="18"/>
              </w:rPr>
              <w:t> </w:t>
            </w:r>
            <w:r>
              <w:rPr>
                <w:rFonts w:ascii="Arial" w:hAnsi="Arial" w:cs="Arial"/>
                <w:sz w:val="18"/>
                <w:szCs w:val="18"/>
              </w:rPr>
              <w:t>173</w:t>
            </w:r>
          </w:p>
        </w:tc>
        <w:tc>
          <w:tcPr>
            <w:tcW w:w="911" w:type="pct"/>
            <w:tcBorders>
              <w:top w:val="nil"/>
              <w:bottom w:val="nil"/>
            </w:tcBorders>
            <w:tcMar>
              <w:left w:w="57" w:type="dxa"/>
              <w:right w:w="57" w:type="dxa"/>
            </w:tcMar>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$8</w:t>
            </w:r>
            <w:r>
              <w:rPr>
                <w:rFonts w:cs="Arial"/>
                <w:sz w:val="18"/>
                <w:szCs w:val="18"/>
              </w:rPr>
              <w:t> </w:t>
            </w:r>
            <w:r>
              <w:rPr>
                <w:rFonts w:ascii="Arial" w:hAnsi="Arial" w:cs="Arial"/>
                <w:sz w:val="18"/>
                <w:szCs w:val="18"/>
              </w:rPr>
              <w:t>425</w:t>
            </w:r>
          </w:p>
        </w:tc>
        <w:tc>
          <w:tcPr>
            <w:tcW w:w="912" w:type="pct"/>
            <w:tcBorders>
              <w:top w:val="nil"/>
              <w:bottom w:val="nil"/>
            </w:tcBorders>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$16</w:t>
            </w:r>
            <w:r>
              <w:rPr>
                <w:rFonts w:cs="Arial"/>
                <w:sz w:val="18"/>
                <w:szCs w:val="18"/>
              </w:rPr>
              <w:t> </w:t>
            </w:r>
            <w:r>
              <w:rPr>
                <w:rFonts w:ascii="Arial" w:hAnsi="Arial" w:cs="Arial"/>
                <w:sz w:val="18"/>
                <w:szCs w:val="18"/>
              </w:rPr>
              <w:t>875</w:t>
            </w:r>
          </w:p>
        </w:tc>
        <w:tc>
          <w:tcPr>
            <w:tcW w:w="912" w:type="pct"/>
            <w:tcBorders>
              <w:top w:val="nil"/>
              <w:bottom w:val="nil"/>
            </w:tcBorders>
            <w:tcMar>
              <w:left w:w="57" w:type="dxa"/>
              <w:right w:w="57" w:type="dxa"/>
            </w:tcMar>
          </w:tcPr>
          <w:p w:rsidR="00000000" w:rsidRDefault="00D35856">
            <w:pPr>
              <w:keepNext w:val="0"/>
              <w:widowControl w:val="0"/>
              <w:spacing w:after="40"/>
              <w:jc w:val="right"/>
              <w:rPr>
                <w:rFonts w:ascii="Arial" w:hAnsi="Arial" w:cs="Arial"/>
                <w:b/>
                <w:sz w:val="18"/>
                <w:szCs w:val="18"/>
              </w:rPr>
            </w:pPr>
            <w:r>
              <w:rPr>
                <w:rFonts w:ascii="Arial" w:hAnsi="Arial" w:cs="Arial"/>
                <w:b/>
                <w:sz w:val="18"/>
                <w:szCs w:val="18"/>
              </w:rPr>
              <w:t>$19</w:t>
            </w:r>
            <w:r>
              <w:rPr>
                <w:rFonts w:cs="Arial"/>
                <w:b/>
                <w:sz w:val="18"/>
                <w:szCs w:val="18"/>
              </w:rPr>
              <w:t> </w:t>
            </w:r>
            <w:r>
              <w:rPr>
                <w:rFonts w:ascii="Arial" w:hAnsi="Arial" w:cs="Arial"/>
                <w:b/>
                <w:sz w:val="18"/>
                <w:szCs w:val="18"/>
              </w:rPr>
              <w:t>048</w:t>
            </w:r>
          </w:p>
        </w:tc>
      </w:tr>
      <w:tr w:rsidR="00000000">
        <w:tc>
          <w:tcPr>
            <w:tcW w:w="939" w:type="pct"/>
            <w:tcBorders>
              <w:top w:val="nil"/>
              <w:bottom w:val="nil"/>
            </w:tcBorders>
            <w:tcMar>
              <w:left w:w="57" w:type="dxa"/>
              <w:right w:w="57" w:type="dxa"/>
            </w:tcMar>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7%</w:t>
            </w:r>
          </w:p>
        </w:tc>
        <w:tc>
          <w:tcPr>
            <w:tcW w:w="1326" w:type="pct"/>
            <w:tcBorders>
              <w:top w:val="nil"/>
              <w:bottom w:val="nil"/>
            </w:tcBorders>
            <w:tcMar>
              <w:left w:w="57" w:type="dxa"/>
              <w:right w:w="57" w:type="dxa"/>
            </w:tcMar>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$2</w:t>
            </w:r>
            <w:r>
              <w:rPr>
                <w:rFonts w:cs="Arial"/>
                <w:sz w:val="18"/>
                <w:szCs w:val="18"/>
              </w:rPr>
              <w:t> </w:t>
            </w:r>
            <w:r>
              <w:rPr>
                <w:rFonts w:ascii="Arial" w:hAnsi="Arial" w:cs="Arial"/>
                <w:sz w:val="18"/>
                <w:szCs w:val="18"/>
              </w:rPr>
              <w:t>218</w:t>
            </w:r>
          </w:p>
        </w:tc>
        <w:tc>
          <w:tcPr>
            <w:tcW w:w="911" w:type="pct"/>
            <w:tcBorders>
              <w:top w:val="nil"/>
              <w:bottom w:val="nil"/>
            </w:tcBorders>
            <w:tcMar>
              <w:left w:w="57" w:type="dxa"/>
              <w:right w:w="57" w:type="dxa"/>
            </w:tcMar>
          </w:tcPr>
          <w:p w:rsidR="00000000" w:rsidRDefault="00D35856">
            <w:pPr>
              <w:keepNext w:val="0"/>
              <w:widowControl w:val="0"/>
              <w:spacing w:after="40"/>
              <w:jc w:val="right"/>
              <w:rPr>
                <w:rFonts w:ascii="Arial" w:hAnsi="Arial" w:cs="Arial"/>
                <w:i/>
                <w:sz w:val="18"/>
                <w:szCs w:val="18"/>
              </w:rPr>
            </w:pPr>
            <w:r>
              <w:rPr>
                <w:rFonts w:ascii="Arial" w:hAnsi="Arial" w:cs="Arial"/>
                <w:i/>
                <w:sz w:val="18"/>
                <w:szCs w:val="18"/>
              </w:rPr>
              <w:t>$6</w:t>
            </w:r>
            <w:r>
              <w:rPr>
                <w:rFonts w:cs="Arial"/>
                <w:i/>
                <w:sz w:val="18"/>
                <w:szCs w:val="18"/>
              </w:rPr>
              <w:t> </w:t>
            </w:r>
            <w:r>
              <w:rPr>
                <w:rFonts w:ascii="Arial" w:hAnsi="Arial" w:cs="Arial"/>
                <w:i/>
                <w:sz w:val="18"/>
                <w:szCs w:val="18"/>
              </w:rPr>
              <w:t>987</w:t>
            </w:r>
          </w:p>
        </w:tc>
        <w:tc>
          <w:tcPr>
            <w:tcW w:w="912" w:type="pct"/>
            <w:tcBorders>
              <w:top w:val="nil"/>
              <w:bottom w:val="nil"/>
            </w:tcBorders>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$13</w:t>
            </w:r>
            <w:r>
              <w:rPr>
                <w:rFonts w:cs="Arial"/>
                <w:sz w:val="18"/>
                <w:szCs w:val="18"/>
              </w:rPr>
              <w:t> </w:t>
            </w:r>
            <w:r>
              <w:rPr>
                <w:rFonts w:ascii="Arial" w:hAnsi="Arial" w:cs="Arial"/>
                <w:sz w:val="18"/>
                <w:szCs w:val="18"/>
              </w:rPr>
              <w:t>861</w:t>
            </w:r>
          </w:p>
        </w:tc>
        <w:tc>
          <w:tcPr>
            <w:tcW w:w="912" w:type="pct"/>
            <w:tcBorders>
              <w:top w:val="nil"/>
              <w:bottom w:val="nil"/>
            </w:tcBorders>
            <w:tcMar>
              <w:left w:w="57" w:type="dxa"/>
              <w:right w:w="57" w:type="dxa"/>
            </w:tcMar>
          </w:tcPr>
          <w:p w:rsidR="00000000" w:rsidRDefault="00D35856">
            <w:pPr>
              <w:keepNext w:val="0"/>
              <w:widowControl w:val="0"/>
              <w:spacing w:after="40"/>
              <w:jc w:val="right"/>
              <w:rPr>
                <w:rFonts w:ascii="Arial" w:hAnsi="Arial" w:cs="Arial"/>
                <w:b/>
              </w:rPr>
            </w:pPr>
            <w:r>
              <w:rPr>
                <w:rFonts w:ascii="Arial" w:hAnsi="Arial" w:cs="Arial"/>
                <w:b/>
              </w:rPr>
              <w:t>$16</w:t>
            </w:r>
            <w:r>
              <w:rPr>
                <w:rFonts w:cs="Arial"/>
                <w:b/>
              </w:rPr>
              <w:t> </w:t>
            </w:r>
            <w:r>
              <w:rPr>
                <w:rFonts w:ascii="Arial" w:hAnsi="Arial" w:cs="Arial"/>
                <w:b/>
              </w:rPr>
              <w:t>079</w:t>
            </w:r>
          </w:p>
        </w:tc>
      </w:tr>
      <w:tr w:rsidR="00000000">
        <w:tc>
          <w:tcPr>
            <w:tcW w:w="939" w:type="pct"/>
            <w:tcBorders>
              <w:top w:val="nil"/>
            </w:tcBorders>
            <w:tcMar>
              <w:left w:w="57" w:type="dxa"/>
              <w:right w:w="57" w:type="dxa"/>
            </w:tcMar>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10%</w:t>
            </w:r>
          </w:p>
        </w:tc>
        <w:tc>
          <w:tcPr>
            <w:tcW w:w="1326" w:type="pct"/>
            <w:tcBorders>
              <w:top w:val="nil"/>
            </w:tcBorders>
            <w:tcMar>
              <w:left w:w="57" w:type="dxa"/>
              <w:right w:w="57" w:type="dxa"/>
            </w:tcMar>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$2</w:t>
            </w:r>
            <w:r>
              <w:rPr>
                <w:rFonts w:cs="Arial"/>
                <w:sz w:val="18"/>
                <w:szCs w:val="18"/>
              </w:rPr>
              <w:t> </w:t>
            </w:r>
            <w:r>
              <w:rPr>
                <w:rFonts w:ascii="Arial" w:hAnsi="Arial" w:cs="Arial"/>
                <w:sz w:val="18"/>
                <w:szCs w:val="18"/>
              </w:rPr>
              <w:t>218</w:t>
            </w:r>
          </w:p>
        </w:tc>
        <w:tc>
          <w:tcPr>
            <w:tcW w:w="911" w:type="pct"/>
            <w:tcBorders>
              <w:top w:val="nil"/>
            </w:tcBorders>
            <w:tcMar>
              <w:left w:w="57" w:type="dxa"/>
              <w:right w:w="57" w:type="dxa"/>
            </w:tcMar>
          </w:tcPr>
          <w:p w:rsidR="00000000" w:rsidRDefault="00D35856">
            <w:pPr>
              <w:keepNext w:val="0"/>
              <w:widowControl w:val="0"/>
              <w:spacing w:after="40"/>
              <w:jc w:val="right"/>
              <w:rPr>
                <w:rFonts w:ascii="Arial" w:hAnsi="Arial" w:cs="Arial"/>
                <w:i/>
                <w:sz w:val="18"/>
                <w:szCs w:val="18"/>
              </w:rPr>
            </w:pPr>
            <w:r>
              <w:rPr>
                <w:rFonts w:ascii="Arial" w:hAnsi="Arial" w:cs="Arial"/>
                <w:i/>
                <w:sz w:val="18"/>
                <w:szCs w:val="18"/>
              </w:rPr>
              <w:t>$5</w:t>
            </w:r>
            <w:r>
              <w:rPr>
                <w:rFonts w:cs="Arial"/>
                <w:i/>
                <w:sz w:val="18"/>
                <w:szCs w:val="18"/>
              </w:rPr>
              <w:t> </w:t>
            </w:r>
            <w:r>
              <w:rPr>
                <w:rFonts w:ascii="Arial" w:hAnsi="Arial" w:cs="Arial"/>
                <w:i/>
                <w:sz w:val="18"/>
                <w:szCs w:val="18"/>
              </w:rPr>
              <w:t>896</w:t>
            </w:r>
          </w:p>
        </w:tc>
        <w:tc>
          <w:tcPr>
            <w:tcW w:w="912" w:type="pct"/>
            <w:tcBorders>
              <w:top w:val="nil"/>
            </w:tcBorders>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$11</w:t>
            </w:r>
            <w:r>
              <w:rPr>
                <w:rFonts w:cs="Arial"/>
                <w:sz w:val="18"/>
                <w:szCs w:val="18"/>
              </w:rPr>
              <w:t> </w:t>
            </w:r>
            <w:r>
              <w:rPr>
                <w:rFonts w:ascii="Arial" w:hAnsi="Arial" w:cs="Arial"/>
                <w:sz w:val="18"/>
                <w:szCs w:val="18"/>
              </w:rPr>
              <w:t>578</w:t>
            </w:r>
          </w:p>
        </w:tc>
        <w:tc>
          <w:tcPr>
            <w:tcW w:w="912" w:type="pct"/>
            <w:tcBorders>
              <w:top w:val="nil"/>
            </w:tcBorders>
            <w:tcMar>
              <w:left w:w="57" w:type="dxa"/>
              <w:right w:w="57" w:type="dxa"/>
            </w:tcMar>
          </w:tcPr>
          <w:p w:rsidR="00000000" w:rsidRDefault="00D35856">
            <w:pPr>
              <w:keepNext w:val="0"/>
              <w:widowControl w:val="0"/>
              <w:spacing w:after="40"/>
              <w:jc w:val="right"/>
              <w:rPr>
                <w:rFonts w:ascii="Arial" w:hAnsi="Arial" w:cs="Arial"/>
                <w:b/>
                <w:sz w:val="18"/>
                <w:szCs w:val="18"/>
              </w:rPr>
            </w:pPr>
            <w:r>
              <w:rPr>
                <w:rFonts w:ascii="Arial" w:hAnsi="Arial" w:cs="Arial"/>
                <w:b/>
                <w:sz w:val="18"/>
                <w:szCs w:val="18"/>
              </w:rPr>
              <w:t>$13</w:t>
            </w:r>
            <w:r>
              <w:rPr>
                <w:rFonts w:cs="Arial"/>
                <w:b/>
                <w:sz w:val="18"/>
                <w:szCs w:val="18"/>
              </w:rPr>
              <w:t> </w:t>
            </w:r>
            <w:r>
              <w:rPr>
                <w:rFonts w:ascii="Arial" w:hAnsi="Arial" w:cs="Arial"/>
                <w:b/>
                <w:sz w:val="18"/>
                <w:szCs w:val="18"/>
              </w:rPr>
              <w:t>843</w:t>
            </w:r>
          </w:p>
        </w:tc>
      </w:tr>
    </w:tbl>
    <w:p w:rsidR="00000000" w:rsidRDefault="00D35856">
      <w:pPr>
        <w:keepNext w:val="0"/>
      </w:pPr>
      <w:bookmarkStart w:id="144" w:name="_Toc187737291"/>
    </w:p>
    <w:p w:rsidR="00000000" w:rsidRDefault="00D35856">
      <w:pPr>
        <w:pStyle w:val="Heading2"/>
        <w:numPr>
          <w:ilvl w:val="1"/>
          <w:numId w:val="3"/>
        </w:numPr>
        <w:tabs>
          <w:tab w:val="clear" w:pos="1296"/>
        </w:tabs>
        <w:ind w:left="567" w:hanging="567"/>
        <w:rPr>
          <w:color w:val="auto"/>
        </w:rPr>
      </w:pPr>
      <w:bookmarkStart w:id="145" w:name="_Ref191471440"/>
      <w:bookmarkStart w:id="146" w:name="_Toc199933748"/>
      <w:r>
        <w:rPr>
          <w:color w:val="auto"/>
        </w:rPr>
        <w:t>Registration costs</w:t>
      </w:r>
      <w:bookmarkEnd w:id="144"/>
      <w:bookmarkEnd w:id="145"/>
      <w:bookmarkEnd w:id="146"/>
    </w:p>
    <w:p w:rsidR="00000000" w:rsidRDefault="00D35856">
      <w:pPr>
        <w:keepNext w:val="0"/>
        <w:widowControl w:val="0"/>
      </w:pPr>
      <w:r>
        <w:t xml:space="preserve">Suppliers (manufacturers and importers) undertake a number of activities to register products under </w:t>
      </w:r>
      <w:smartTag w:uri="urn:schemas-microsoft-com:office:smarttags" w:element="City">
        <w:r>
          <w:t>WELS</w:t>
        </w:r>
      </w:smartTag>
      <w:r>
        <w:t>. These include:</w:t>
      </w:r>
    </w:p>
    <w:p w:rsidR="00000000" w:rsidRDefault="00D35856">
      <w:pPr>
        <w:keepNext w:val="0"/>
        <w:widowControl w:val="0"/>
        <w:numPr>
          <w:ilvl w:val="0"/>
          <w:numId w:val="6"/>
        </w:numPr>
      </w:pPr>
      <w:r>
        <w:rPr>
          <w:b/>
        </w:rPr>
        <w:t>Testing to determine star rating</w:t>
      </w:r>
      <w:r>
        <w:t>: Suppliers must p</w:t>
      </w:r>
      <w:r>
        <w:t xml:space="preserve">rovide laboratory test reports  demonstrating that the water consumption of the products has been tested in accordance with relevant standards. Costs associated with testing for </w:t>
      </w:r>
      <w:smartTag w:uri="urn:schemas-microsoft-com:office:smarttags" w:element="City">
        <w:r>
          <w:t>WELS</w:t>
        </w:r>
      </w:smartTag>
      <w:r>
        <w:t xml:space="preserve"> are those incurred </w:t>
      </w:r>
      <w:r>
        <w:rPr>
          <w:i/>
        </w:rPr>
        <w:t>in addition</w:t>
      </w:r>
      <w:r>
        <w:t xml:space="preserve"> to testing required or undertaken </w:t>
      </w:r>
      <w:r>
        <w:t>for other purposes, such as energy testing and testing for WaterMark certification.</w:t>
      </w:r>
    </w:p>
    <w:p w:rsidR="00000000" w:rsidRDefault="00D35856">
      <w:pPr>
        <w:keepNext w:val="0"/>
        <w:widowControl w:val="0"/>
        <w:numPr>
          <w:ilvl w:val="0"/>
          <w:numId w:val="6"/>
        </w:numPr>
      </w:pPr>
      <w:r>
        <w:rPr>
          <w:b/>
        </w:rPr>
        <w:t xml:space="preserve">Online registration: </w:t>
      </w:r>
      <w:r>
        <w:t xml:space="preserve">Plumbing and sanitary ware products are registered through the </w:t>
      </w:r>
      <w:smartTag w:uri="urn:schemas-microsoft-com:office:smarttags" w:element="City">
        <w:r>
          <w:t>WELS</w:t>
        </w:r>
      </w:smartTag>
      <w:r>
        <w:t xml:space="preserve"> online registration system, and washing machines and dishwashers register</w:t>
      </w:r>
      <w:r>
        <w:t>ed through the online energy rating database. Online registration requires the preparation of various attachments and filling in online forms.</w:t>
      </w:r>
    </w:p>
    <w:p w:rsidR="00000000" w:rsidRDefault="00D35856">
      <w:pPr>
        <w:keepNext w:val="0"/>
        <w:widowControl w:val="0"/>
        <w:numPr>
          <w:ilvl w:val="0"/>
          <w:numId w:val="6"/>
        </w:numPr>
      </w:pPr>
      <w:r>
        <w:rPr>
          <w:b/>
        </w:rPr>
        <w:t>Payment of registration fee</w:t>
      </w:r>
      <w:r>
        <w:t>: The registration fee payable is $1500 per applicable registration.</w:t>
      </w:r>
    </w:p>
    <w:p w:rsidR="00000000" w:rsidRDefault="00D35856">
      <w:pPr>
        <w:keepNext w:val="0"/>
        <w:widowControl w:val="0"/>
        <w:spacing w:after="120"/>
      </w:pPr>
      <w:r>
        <w:t>The analysis of</w:t>
      </w:r>
      <w:r>
        <w:t xml:space="preserve"> registration costs depends on:</w:t>
      </w:r>
    </w:p>
    <w:p w:rsidR="00000000" w:rsidRDefault="00D35856">
      <w:pPr>
        <w:keepNext w:val="0"/>
        <w:widowControl w:val="0"/>
        <w:numPr>
          <w:ilvl w:val="0"/>
          <w:numId w:val="6"/>
        </w:numPr>
        <w:spacing w:after="120"/>
      </w:pPr>
      <w:r>
        <w:t xml:space="preserve">How many registrations have occurred to date. </w:t>
      </w:r>
    </w:p>
    <w:p w:rsidR="00000000" w:rsidRDefault="00D35856">
      <w:pPr>
        <w:keepNext w:val="0"/>
        <w:widowControl w:val="0"/>
        <w:numPr>
          <w:ilvl w:val="0"/>
          <w:numId w:val="6"/>
        </w:numPr>
        <w:spacing w:after="120"/>
      </w:pPr>
      <w:r>
        <w:t xml:space="preserve">Projections of future registration numbers. </w:t>
      </w:r>
    </w:p>
    <w:p w:rsidR="00000000" w:rsidRDefault="00D35856">
      <w:pPr>
        <w:keepNext w:val="0"/>
        <w:widowControl w:val="0"/>
        <w:numPr>
          <w:ilvl w:val="0"/>
          <w:numId w:val="6"/>
        </w:numPr>
        <w:spacing w:after="120"/>
      </w:pPr>
      <w:r>
        <w:t>The type of registration – only single models, family registrations or sets of minor products require a separate test and attr</w:t>
      </w:r>
      <w:r>
        <w:t xml:space="preserve">act registration fees. However, although family additions do not generally require separate testing or certification to the original family or single registration, there would be some costs associated with document preparation. </w:t>
      </w:r>
    </w:p>
    <w:p w:rsidR="00000000" w:rsidRDefault="00D35856">
      <w:pPr>
        <w:keepNext w:val="0"/>
        <w:widowControl w:val="0"/>
        <w:numPr>
          <w:ilvl w:val="0"/>
          <w:numId w:val="6"/>
        </w:numPr>
        <w:spacing w:after="120"/>
      </w:pPr>
      <w:r>
        <w:t>The time taken to success</w:t>
      </w:r>
      <w:r>
        <w:t>fully complete the registration process, which also depends on the extent of amendments required after the original online submission.</w:t>
      </w:r>
    </w:p>
    <w:p w:rsidR="00000000" w:rsidRDefault="00D35856">
      <w:pPr>
        <w:pStyle w:val="Heading3"/>
        <w:keepNext w:val="0"/>
        <w:numPr>
          <w:ilvl w:val="2"/>
          <w:numId w:val="3"/>
        </w:numPr>
        <w:tabs>
          <w:tab w:val="clear" w:pos="1440"/>
        </w:tabs>
        <w:ind w:left="851" w:hanging="851"/>
        <w:rPr>
          <w:color w:val="auto"/>
        </w:rPr>
      </w:pPr>
      <w:bookmarkStart w:id="147" w:name="_Toc199933749"/>
      <w:r>
        <w:rPr>
          <w:color w:val="auto"/>
        </w:rPr>
        <w:lastRenderedPageBreak/>
        <w:t>Registration numbers</w:t>
      </w:r>
      <w:bookmarkEnd w:id="147"/>
    </w:p>
    <w:p w:rsidR="00000000" w:rsidRDefault="00D35856">
      <w:pPr>
        <w:keepNext w:val="0"/>
        <w:widowControl w:val="0"/>
      </w:pPr>
      <w:r>
        <w:t xml:space="preserve">Information about all models currently registered is available from the online </w:t>
      </w:r>
      <w:smartTag w:uri="urn:schemas-microsoft-com:office:smarttags" w:element="City">
        <w:r>
          <w:t>WELS</w:t>
        </w:r>
      </w:smartTag>
      <w:r>
        <w:t xml:space="preserve"> product registration database. However, this database is not used by </w:t>
      </w:r>
      <w:smartTag w:uri="urn:schemas-microsoft-com:office:smarttags" w:element="City">
        <w:r>
          <w:t>WELS</w:t>
        </w:r>
      </w:smartTag>
      <w:r>
        <w:t xml:space="preserve"> administrators to track the registration process (eg. returns and amendments) for </w:t>
      </w:r>
      <w:r>
        <w:t xml:space="preserve">each individual model. Instead, </w:t>
      </w:r>
      <w:smartTag w:uri="urn:schemas-microsoft-com:office:smarttags" w:element="City">
        <w:r>
          <w:t>WELS</w:t>
        </w:r>
      </w:smartTag>
      <w:r>
        <w:t xml:space="preserve"> administrators track registration activities on a separate data system. DEWHA (pers. comm.) has indicated that although this internal system provides accurate records about number and date of successful registra</w:t>
      </w:r>
      <w:r>
        <w:t>tions, the record of returns required is partial and likely to under-report returns and amendments required. Nevertheless, this system is the best available source of information about model registration history and has thus been used for this study.</w:t>
      </w:r>
    </w:p>
    <w:p w:rsidR="00000000" w:rsidRDefault="00D35856">
      <w:pPr>
        <w:keepNext w:val="0"/>
        <w:widowControl w:val="0"/>
      </w:pPr>
      <w:r>
        <w:t xml:space="preserve">From </w:t>
      </w:r>
      <w:r>
        <w:t xml:space="preserve">July 2005 to November 2007, DEWHA received 2683 registrations. The breakdown of the registrations by registration type, product type and year is shown in </w:t>
      </w:r>
      <w:fldSimple w:instr=" REF _Ref188069885 \h  \* MERGEFORMAT ">
        <w:r>
          <w:t xml:space="preserve">Table </w:t>
        </w:r>
        <w:r>
          <w:rPr>
            <w:noProof/>
          </w:rPr>
          <w:t>4</w:t>
        </w:r>
        <w:r>
          <w:rPr>
            <w:noProof/>
          </w:rPr>
          <w:noBreakHyphen/>
          <w:t>4</w:t>
        </w:r>
      </w:fldSimple>
      <w:r>
        <w:t>.</w:t>
      </w:r>
    </w:p>
    <w:p w:rsidR="00000000" w:rsidRDefault="00D35856">
      <w:pPr>
        <w:pStyle w:val="Caption"/>
        <w:keepNext w:val="0"/>
      </w:pPr>
      <w:bookmarkStart w:id="148" w:name="_Ref188069885"/>
      <w:bookmarkStart w:id="149" w:name="_Toc199933797"/>
      <w:r>
        <w:t xml:space="preserve">Table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Table \* ARABIC \s 1 </w:instrText>
      </w:r>
      <w:r>
        <w:fldChar w:fldCharType="separate"/>
      </w:r>
      <w:r>
        <w:rPr>
          <w:noProof/>
        </w:rPr>
        <w:t>4</w:t>
      </w:r>
      <w:r>
        <w:fldChar w:fldCharType="end"/>
      </w:r>
      <w:bookmarkEnd w:id="148"/>
      <w:r>
        <w:t xml:space="preserve">: </w:t>
      </w:r>
      <w:smartTag w:uri="urn:schemas-microsoft-com:office:smarttags" w:element="City">
        <w:r>
          <w:t>WELS</w:t>
        </w:r>
      </w:smartTag>
      <w:r>
        <w:t xml:space="preserve"> Registrations by type</w:t>
      </w:r>
      <w:bookmarkEnd w:id="149"/>
    </w:p>
    <w:tbl>
      <w:tblPr>
        <w:tblStyle w:val="TableGrid"/>
        <w:tblW w:w="8427" w:type="dxa"/>
        <w:tblLook w:val="01E0"/>
      </w:tblPr>
      <w:tblGrid>
        <w:gridCol w:w="1384"/>
        <w:gridCol w:w="1196"/>
        <w:gridCol w:w="802"/>
        <w:gridCol w:w="791"/>
        <w:gridCol w:w="721"/>
        <w:gridCol w:w="743"/>
        <w:gridCol w:w="706"/>
        <w:gridCol w:w="747"/>
        <w:gridCol w:w="643"/>
        <w:gridCol w:w="694"/>
      </w:tblGrid>
      <w:tr w:rsidR="00000000">
        <w:trPr>
          <w:trHeight w:val="528"/>
        </w:trPr>
        <w:tc>
          <w:tcPr>
            <w:tcW w:w="1384" w:type="dxa"/>
            <w:shd w:val="clear" w:color="auto" w:fill="CCCCCC"/>
          </w:tcPr>
          <w:p w:rsidR="00000000" w:rsidRDefault="00D35856">
            <w:pPr>
              <w:keepNext w:val="0"/>
              <w:widowControl w:val="0"/>
              <w:spacing w:after="0"/>
              <w:rPr>
                <w:rFonts w:ascii="Arial" w:hAnsi="Arial" w:cs="Arial"/>
                <w:b/>
                <w:bCs/>
                <w:sz w:val="20"/>
                <w:szCs w:val="20"/>
              </w:rPr>
            </w:pPr>
            <w:r>
              <w:rPr>
                <w:rFonts w:ascii="Arial" w:hAnsi="Arial" w:cs="Arial"/>
                <w:b/>
                <w:bCs/>
                <w:sz w:val="20"/>
                <w:szCs w:val="20"/>
              </w:rPr>
              <w:t>Registration type</w:t>
            </w:r>
          </w:p>
        </w:tc>
        <w:tc>
          <w:tcPr>
            <w:tcW w:w="1196" w:type="dxa"/>
            <w:shd w:val="clear" w:color="auto" w:fill="CCCCCC"/>
          </w:tcPr>
          <w:p w:rsidR="00000000" w:rsidRDefault="00D35856">
            <w:pPr>
              <w:keepNext w:val="0"/>
              <w:widowControl w:val="0"/>
              <w:spacing w:after="0"/>
              <w:rPr>
                <w:rFonts w:ascii="Arial" w:hAnsi="Arial" w:cs="Arial"/>
                <w:b/>
                <w:bCs/>
                <w:sz w:val="20"/>
                <w:szCs w:val="20"/>
              </w:rPr>
            </w:pPr>
            <w:r>
              <w:rPr>
                <w:rFonts w:ascii="Arial" w:hAnsi="Arial" w:cs="Arial"/>
                <w:b/>
                <w:bCs/>
                <w:sz w:val="20"/>
                <w:szCs w:val="20"/>
              </w:rPr>
              <w:t>Year</w:t>
            </w:r>
          </w:p>
        </w:tc>
        <w:tc>
          <w:tcPr>
            <w:tcW w:w="802" w:type="dxa"/>
            <w:shd w:val="clear" w:color="auto" w:fill="CCCCCC"/>
          </w:tcPr>
          <w:p w:rsidR="00000000" w:rsidRDefault="00D35856">
            <w:pPr>
              <w:keepNext w:val="0"/>
              <w:widowControl w:val="0"/>
              <w:spacing w:after="0"/>
              <w:rPr>
                <w:rFonts w:ascii="Arial" w:hAnsi="Arial" w:cs="Arial"/>
                <w:b/>
                <w:bCs/>
                <w:sz w:val="20"/>
                <w:szCs w:val="20"/>
              </w:rPr>
            </w:pPr>
            <w:r>
              <w:rPr>
                <w:rFonts w:ascii="Arial" w:hAnsi="Arial" w:cs="Arial"/>
                <w:b/>
                <w:bCs/>
                <w:sz w:val="20"/>
                <w:szCs w:val="20"/>
              </w:rPr>
              <w:t>CWM</w:t>
            </w:r>
          </w:p>
        </w:tc>
        <w:tc>
          <w:tcPr>
            <w:tcW w:w="791" w:type="dxa"/>
            <w:shd w:val="clear" w:color="auto" w:fill="CCCCCC"/>
          </w:tcPr>
          <w:p w:rsidR="00000000" w:rsidRDefault="00D35856">
            <w:pPr>
              <w:keepNext w:val="0"/>
              <w:widowControl w:val="0"/>
              <w:spacing w:after="0"/>
              <w:rPr>
                <w:rFonts w:ascii="Arial" w:hAnsi="Arial" w:cs="Arial"/>
                <w:b/>
                <w:bCs/>
                <w:sz w:val="20"/>
                <w:szCs w:val="20"/>
              </w:rPr>
            </w:pPr>
            <w:r>
              <w:rPr>
                <w:rFonts w:ascii="Arial" w:hAnsi="Arial" w:cs="Arial"/>
                <w:b/>
                <w:bCs/>
                <w:sz w:val="20"/>
                <w:szCs w:val="20"/>
              </w:rPr>
              <w:t>DWM</w:t>
            </w:r>
          </w:p>
        </w:tc>
        <w:tc>
          <w:tcPr>
            <w:tcW w:w="721" w:type="dxa"/>
            <w:shd w:val="clear" w:color="auto" w:fill="CCCCCC"/>
          </w:tcPr>
          <w:p w:rsidR="00000000" w:rsidRDefault="00D35856">
            <w:pPr>
              <w:keepNext w:val="0"/>
              <w:widowControl w:val="0"/>
              <w:spacing w:after="0"/>
              <w:rPr>
                <w:rFonts w:ascii="Arial" w:hAnsi="Arial" w:cs="Arial"/>
                <w:b/>
                <w:bCs/>
                <w:sz w:val="20"/>
                <w:szCs w:val="20"/>
              </w:rPr>
            </w:pPr>
            <w:r>
              <w:rPr>
                <w:rFonts w:ascii="Arial" w:hAnsi="Arial" w:cs="Arial"/>
                <w:b/>
                <w:bCs/>
                <w:sz w:val="20"/>
                <w:szCs w:val="20"/>
              </w:rPr>
              <w:t>FC</w:t>
            </w:r>
          </w:p>
        </w:tc>
        <w:tc>
          <w:tcPr>
            <w:tcW w:w="743" w:type="dxa"/>
            <w:shd w:val="clear" w:color="auto" w:fill="CCCCCC"/>
          </w:tcPr>
          <w:p w:rsidR="00000000" w:rsidRDefault="00D35856">
            <w:pPr>
              <w:keepNext w:val="0"/>
              <w:widowControl w:val="0"/>
              <w:spacing w:after="0"/>
              <w:rPr>
                <w:rFonts w:ascii="Arial" w:hAnsi="Arial" w:cs="Arial"/>
                <w:b/>
                <w:bCs/>
                <w:sz w:val="20"/>
                <w:szCs w:val="20"/>
              </w:rPr>
            </w:pPr>
            <w:r>
              <w:rPr>
                <w:rFonts w:ascii="Arial" w:hAnsi="Arial" w:cs="Arial"/>
                <w:b/>
                <w:bCs/>
                <w:sz w:val="20"/>
                <w:szCs w:val="20"/>
              </w:rPr>
              <w:t>LE</w:t>
            </w:r>
          </w:p>
        </w:tc>
        <w:tc>
          <w:tcPr>
            <w:tcW w:w="706" w:type="dxa"/>
            <w:shd w:val="clear" w:color="auto" w:fill="CCCCCC"/>
          </w:tcPr>
          <w:p w:rsidR="00000000" w:rsidRDefault="00D35856">
            <w:pPr>
              <w:keepNext w:val="0"/>
              <w:widowControl w:val="0"/>
              <w:spacing w:after="0"/>
              <w:rPr>
                <w:rFonts w:ascii="Arial" w:hAnsi="Arial" w:cs="Arial"/>
                <w:b/>
                <w:bCs/>
                <w:sz w:val="20"/>
                <w:szCs w:val="20"/>
              </w:rPr>
            </w:pPr>
            <w:r>
              <w:rPr>
                <w:rFonts w:ascii="Arial" w:hAnsi="Arial" w:cs="Arial"/>
                <w:b/>
                <w:bCs/>
                <w:sz w:val="20"/>
                <w:szCs w:val="20"/>
              </w:rPr>
              <w:t>S</w:t>
            </w:r>
          </w:p>
        </w:tc>
        <w:tc>
          <w:tcPr>
            <w:tcW w:w="747" w:type="dxa"/>
            <w:shd w:val="clear" w:color="auto" w:fill="CCCCCC"/>
          </w:tcPr>
          <w:p w:rsidR="00000000" w:rsidRDefault="00D35856">
            <w:pPr>
              <w:keepNext w:val="0"/>
              <w:widowControl w:val="0"/>
              <w:spacing w:after="0"/>
              <w:rPr>
                <w:rFonts w:ascii="Arial" w:hAnsi="Arial" w:cs="Arial"/>
                <w:b/>
                <w:bCs/>
                <w:sz w:val="20"/>
                <w:szCs w:val="20"/>
              </w:rPr>
            </w:pPr>
            <w:r>
              <w:rPr>
                <w:rFonts w:ascii="Arial" w:hAnsi="Arial" w:cs="Arial"/>
                <w:b/>
                <w:bCs/>
                <w:sz w:val="20"/>
                <w:szCs w:val="20"/>
              </w:rPr>
              <w:t>TE</w:t>
            </w:r>
          </w:p>
        </w:tc>
        <w:tc>
          <w:tcPr>
            <w:tcW w:w="643" w:type="dxa"/>
            <w:shd w:val="clear" w:color="auto" w:fill="CCCCCC"/>
          </w:tcPr>
          <w:p w:rsidR="00000000" w:rsidRDefault="00D35856">
            <w:pPr>
              <w:keepNext w:val="0"/>
              <w:widowControl w:val="0"/>
              <w:spacing w:after="0"/>
              <w:rPr>
                <w:rFonts w:ascii="Arial" w:hAnsi="Arial" w:cs="Arial"/>
                <w:b/>
                <w:bCs/>
                <w:sz w:val="20"/>
                <w:szCs w:val="20"/>
              </w:rPr>
            </w:pPr>
            <w:r>
              <w:rPr>
                <w:rFonts w:ascii="Arial" w:hAnsi="Arial" w:cs="Arial"/>
                <w:b/>
                <w:bCs/>
                <w:sz w:val="20"/>
                <w:szCs w:val="20"/>
              </w:rPr>
              <w:t>UE</w:t>
            </w:r>
          </w:p>
        </w:tc>
        <w:tc>
          <w:tcPr>
            <w:tcW w:w="694" w:type="dxa"/>
            <w:shd w:val="clear" w:color="auto" w:fill="CCCCCC"/>
          </w:tcPr>
          <w:p w:rsidR="00000000" w:rsidRDefault="00D35856">
            <w:pPr>
              <w:keepNext w:val="0"/>
              <w:widowControl w:val="0"/>
              <w:spacing w:after="0"/>
              <w:rPr>
                <w:rFonts w:ascii="Arial" w:hAnsi="Arial" w:cs="Arial"/>
                <w:b/>
                <w:bCs/>
                <w:sz w:val="20"/>
                <w:szCs w:val="20"/>
              </w:rPr>
            </w:pPr>
            <w:r>
              <w:rPr>
                <w:rFonts w:ascii="Arial" w:hAnsi="Arial" w:cs="Arial"/>
                <w:b/>
                <w:bCs/>
                <w:sz w:val="20"/>
                <w:szCs w:val="20"/>
              </w:rPr>
              <w:t>Total</w:t>
            </w:r>
          </w:p>
        </w:tc>
      </w:tr>
      <w:tr w:rsidR="00000000">
        <w:tc>
          <w:tcPr>
            <w:tcW w:w="1384" w:type="dxa"/>
            <w:vMerge w:val="restart"/>
          </w:tcPr>
          <w:p w:rsidR="00000000" w:rsidRDefault="00D35856">
            <w:pPr>
              <w:keepNext w:val="0"/>
              <w:widowControl w:val="0"/>
              <w:spacing w:after="40"/>
              <w:rPr>
                <w:rFonts w:ascii="Arial" w:hAnsi="Arial" w:cs="Arial"/>
                <w:b/>
                <w:sz w:val="18"/>
                <w:szCs w:val="18"/>
              </w:rPr>
            </w:pPr>
            <w:r>
              <w:rPr>
                <w:rFonts w:ascii="Arial" w:hAnsi="Arial" w:cs="Arial"/>
                <w:b/>
                <w:sz w:val="18"/>
                <w:szCs w:val="18"/>
              </w:rPr>
              <w:t>Test load (requires test and fee)</w:t>
            </w:r>
          </w:p>
          <w:p w:rsidR="00000000" w:rsidRDefault="00D35856">
            <w:pPr>
              <w:keepNext w:val="0"/>
              <w:widowControl w:val="0"/>
              <w:spacing w:after="40"/>
              <w:rPr>
                <w:rFonts w:ascii="Arial" w:hAnsi="Arial" w:cs="Arial"/>
                <w:sz w:val="18"/>
                <w:szCs w:val="18"/>
              </w:rPr>
            </w:pPr>
            <w:r>
              <w:rPr>
                <w:rFonts w:ascii="Arial" w:hAnsi="Arial" w:cs="Arial"/>
                <w:sz w:val="18"/>
                <w:szCs w:val="18"/>
              </w:rPr>
              <w:t>(single, family</w:t>
            </w:r>
            <w:r>
              <w:rPr>
                <w:rFonts w:ascii="Arial" w:hAnsi="Arial" w:cs="Arial"/>
                <w:sz w:val="18"/>
                <w:szCs w:val="18"/>
              </w:rPr>
              <w:t>, set of minor products)</w:t>
            </w:r>
          </w:p>
        </w:tc>
        <w:tc>
          <w:tcPr>
            <w:tcW w:w="1196" w:type="dxa"/>
          </w:tcPr>
          <w:p w:rsidR="00000000" w:rsidRDefault="00D35856">
            <w:pPr>
              <w:keepNext w:val="0"/>
              <w:widowControl w:val="0"/>
              <w:spacing w:after="40"/>
              <w:rPr>
                <w:rFonts w:ascii="Arial" w:hAnsi="Arial" w:cs="Arial"/>
                <w:sz w:val="18"/>
                <w:szCs w:val="18"/>
              </w:rPr>
            </w:pPr>
            <w:r>
              <w:rPr>
                <w:rFonts w:ascii="Arial" w:hAnsi="Arial" w:cs="Arial"/>
                <w:sz w:val="18"/>
                <w:szCs w:val="18"/>
              </w:rPr>
              <w:t>2005-2006</w:t>
            </w:r>
          </w:p>
        </w:tc>
        <w:tc>
          <w:tcPr>
            <w:tcW w:w="802" w:type="dxa"/>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92</w:t>
            </w:r>
          </w:p>
        </w:tc>
        <w:tc>
          <w:tcPr>
            <w:tcW w:w="791" w:type="dxa"/>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100</w:t>
            </w:r>
          </w:p>
        </w:tc>
        <w:tc>
          <w:tcPr>
            <w:tcW w:w="721" w:type="dxa"/>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2</w:t>
            </w:r>
          </w:p>
        </w:tc>
        <w:tc>
          <w:tcPr>
            <w:tcW w:w="743" w:type="dxa"/>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51</w:t>
            </w:r>
          </w:p>
        </w:tc>
        <w:tc>
          <w:tcPr>
            <w:tcW w:w="706" w:type="dxa"/>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136</w:t>
            </w:r>
          </w:p>
        </w:tc>
        <w:tc>
          <w:tcPr>
            <w:tcW w:w="747" w:type="dxa"/>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230</w:t>
            </w:r>
          </w:p>
        </w:tc>
        <w:tc>
          <w:tcPr>
            <w:tcW w:w="643" w:type="dxa"/>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11</w:t>
            </w:r>
          </w:p>
        </w:tc>
        <w:tc>
          <w:tcPr>
            <w:tcW w:w="694" w:type="dxa"/>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622</w:t>
            </w:r>
          </w:p>
        </w:tc>
      </w:tr>
      <w:tr w:rsidR="00000000">
        <w:tc>
          <w:tcPr>
            <w:tcW w:w="1384" w:type="dxa"/>
            <w:vMerge/>
          </w:tcPr>
          <w:p w:rsidR="00000000" w:rsidRDefault="00D35856">
            <w:pPr>
              <w:keepNext w:val="0"/>
              <w:widowControl w:val="0"/>
              <w:spacing w:after="40"/>
              <w:rPr>
                <w:rFonts w:ascii="Arial" w:hAnsi="Arial" w:cs="Arial"/>
                <w:sz w:val="18"/>
                <w:szCs w:val="18"/>
              </w:rPr>
            </w:pPr>
          </w:p>
        </w:tc>
        <w:tc>
          <w:tcPr>
            <w:tcW w:w="1196" w:type="dxa"/>
          </w:tcPr>
          <w:p w:rsidR="00000000" w:rsidRDefault="00D35856">
            <w:pPr>
              <w:keepNext w:val="0"/>
              <w:widowControl w:val="0"/>
              <w:spacing w:after="40"/>
              <w:rPr>
                <w:rFonts w:ascii="Arial" w:hAnsi="Arial" w:cs="Arial"/>
                <w:sz w:val="18"/>
                <w:szCs w:val="18"/>
              </w:rPr>
            </w:pPr>
            <w:r>
              <w:rPr>
                <w:rFonts w:ascii="Arial" w:hAnsi="Arial" w:cs="Arial"/>
                <w:sz w:val="18"/>
                <w:szCs w:val="18"/>
              </w:rPr>
              <w:t>2006-2007</w:t>
            </w:r>
          </w:p>
        </w:tc>
        <w:tc>
          <w:tcPr>
            <w:tcW w:w="802" w:type="dxa"/>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119</w:t>
            </w:r>
          </w:p>
        </w:tc>
        <w:tc>
          <w:tcPr>
            <w:tcW w:w="791" w:type="dxa"/>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82</w:t>
            </w:r>
          </w:p>
        </w:tc>
        <w:tc>
          <w:tcPr>
            <w:tcW w:w="721" w:type="dxa"/>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17</w:t>
            </w:r>
          </w:p>
        </w:tc>
        <w:tc>
          <w:tcPr>
            <w:tcW w:w="743" w:type="dxa"/>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73</w:t>
            </w:r>
          </w:p>
        </w:tc>
        <w:tc>
          <w:tcPr>
            <w:tcW w:w="706" w:type="dxa"/>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120</w:t>
            </w:r>
          </w:p>
        </w:tc>
        <w:tc>
          <w:tcPr>
            <w:tcW w:w="747" w:type="dxa"/>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176</w:t>
            </w:r>
          </w:p>
        </w:tc>
        <w:tc>
          <w:tcPr>
            <w:tcW w:w="643" w:type="dxa"/>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25</w:t>
            </w:r>
          </w:p>
        </w:tc>
        <w:tc>
          <w:tcPr>
            <w:tcW w:w="694" w:type="dxa"/>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612</w:t>
            </w:r>
          </w:p>
        </w:tc>
      </w:tr>
      <w:tr w:rsidR="00000000">
        <w:tc>
          <w:tcPr>
            <w:tcW w:w="1384" w:type="dxa"/>
            <w:vMerge/>
          </w:tcPr>
          <w:p w:rsidR="00000000" w:rsidRDefault="00D35856">
            <w:pPr>
              <w:keepNext w:val="0"/>
              <w:widowControl w:val="0"/>
              <w:spacing w:after="40"/>
              <w:rPr>
                <w:rFonts w:ascii="Arial" w:hAnsi="Arial" w:cs="Arial"/>
                <w:sz w:val="18"/>
                <w:szCs w:val="18"/>
              </w:rPr>
            </w:pPr>
          </w:p>
        </w:tc>
        <w:tc>
          <w:tcPr>
            <w:tcW w:w="1196" w:type="dxa"/>
          </w:tcPr>
          <w:p w:rsidR="00000000" w:rsidRDefault="00D35856">
            <w:pPr>
              <w:keepNext w:val="0"/>
              <w:widowControl w:val="0"/>
              <w:spacing w:after="40"/>
              <w:rPr>
                <w:rFonts w:ascii="Arial" w:hAnsi="Arial" w:cs="Arial"/>
                <w:sz w:val="18"/>
                <w:szCs w:val="18"/>
              </w:rPr>
            </w:pPr>
            <w:r>
              <w:rPr>
                <w:rFonts w:ascii="Arial" w:hAnsi="Arial" w:cs="Arial"/>
                <w:sz w:val="18"/>
                <w:szCs w:val="18"/>
              </w:rPr>
              <w:t>2007-2008*</w:t>
            </w:r>
          </w:p>
        </w:tc>
        <w:tc>
          <w:tcPr>
            <w:tcW w:w="802" w:type="dxa"/>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37</w:t>
            </w:r>
          </w:p>
        </w:tc>
        <w:tc>
          <w:tcPr>
            <w:tcW w:w="791" w:type="dxa"/>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28</w:t>
            </w:r>
          </w:p>
        </w:tc>
        <w:tc>
          <w:tcPr>
            <w:tcW w:w="721" w:type="dxa"/>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12</w:t>
            </w:r>
          </w:p>
        </w:tc>
        <w:tc>
          <w:tcPr>
            <w:tcW w:w="743" w:type="dxa"/>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25</w:t>
            </w:r>
          </w:p>
        </w:tc>
        <w:tc>
          <w:tcPr>
            <w:tcW w:w="706" w:type="dxa"/>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20</w:t>
            </w:r>
          </w:p>
        </w:tc>
        <w:tc>
          <w:tcPr>
            <w:tcW w:w="747" w:type="dxa"/>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54</w:t>
            </w:r>
          </w:p>
        </w:tc>
        <w:tc>
          <w:tcPr>
            <w:tcW w:w="643" w:type="dxa"/>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11</w:t>
            </w:r>
          </w:p>
        </w:tc>
        <w:tc>
          <w:tcPr>
            <w:tcW w:w="694" w:type="dxa"/>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187</w:t>
            </w:r>
          </w:p>
        </w:tc>
      </w:tr>
      <w:tr w:rsidR="00000000">
        <w:tc>
          <w:tcPr>
            <w:tcW w:w="1384" w:type="dxa"/>
            <w:vMerge/>
          </w:tcPr>
          <w:p w:rsidR="00000000" w:rsidRDefault="00D35856">
            <w:pPr>
              <w:keepNext w:val="0"/>
              <w:widowControl w:val="0"/>
              <w:spacing w:after="40"/>
              <w:rPr>
                <w:rFonts w:ascii="Arial" w:hAnsi="Arial" w:cs="Arial"/>
                <w:sz w:val="18"/>
                <w:szCs w:val="18"/>
              </w:rPr>
            </w:pPr>
          </w:p>
        </w:tc>
        <w:tc>
          <w:tcPr>
            <w:tcW w:w="1196" w:type="dxa"/>
          </w:tcPr>
          <w:p w:rsidR="00000000" w:rsidRDefault="00D35856">
            <w:pPr>
              <w:keepNext w:val="0"/>
              <w:widowControl w:val="0"/>
              <w:spacing w:after="40"/>
              <w:rPr>
                <w:rFonts w:ascii="Arial" w:hAnsi="Arial" w:cs="Arial"/>
                <w:b/>
                <w:sz w:val="18"/>
                <w:szCs w:val="18"/>
              </w:rPr>
            </w:pPr>
            <w:r>
              <w:rPr>
                <w:rFonts w:ascii="Arial" w:hAnsi="Arial" w:cs="Arial"/>
                <w:b/>
                <w:sz w:val="18"/>
                <w:szCs w:val="18"/>
              </w:rPr>
              <w:t>SUBTOTAL</w:t>
            </w:r>
          </w:p>
        </w:tc>
        <w:tc>
          <w:tcPr>
            <w:tcW w:w="802" w:type="dxa"/>
          </w:tcPr>
          <w:p w:rsidR="00000000" w:rsidRDefault="00D35856">
            <w:pPr>
              <w:keepNext w:val="0"/>
              <w:widowControl w:val="0"/>
              <w:spacing w:after="40"/>
              <w:jc w:val="right"/>
              <w:rPr>
                <w:rFonts w:ascii="Arial" w:hAnsi="Arial" w:cs="Arial"/>
                <w:b/>
                <w:sz w:val="18"/>
                <w:szCs w:val="18"/>
              </w:rPr>
            </w:pPr>
            <w:r>
              <w:rPr>
                <w:rFonts w:ascii="Arial" w:hAnsi="Arial" w:cs="Arial"/>
                <w:b/>
                <w:sz w:val="18"/>
                <w:szCs w:val="18"/>
              </w:rPr>
              <w:t>248</w:t>
            </w:r>
          </w:p>
        </w:tc>
        <w:tc>
          <w:tcPr>
            <w:tcW w:w="791" w:type="dxa"/>
          </w:tcPr>
          <w:p w:rsidR="00000000" w:rsidRDefault="00D35856">
            <w:pPr>
              <w:keepNext w:val="0"/>
              <w:widowControl w:val="0"/>
              <w:spacing w:after="40"/>
              <w:jc w:val="right"/>
              <w:rPr>
                <w:rFonts w:ascii="Arial" w:hAnsi="Arial" w:cs="Arial"/>
                <w:b/>
                <w:sz w:val="18"/>
                <w:szCs w:val="18"/>
              </w:rPr>
            </w:pPr>
            <w:r>
              <w:rPr>
                <w:rFonts w:ascii="Arial" w:hAnsi="Arial" w:cs="Arial"/>
                <w:b/>
                <w:sz w:val="18"/>
                <w:szCs w:val="18"/>
              </w:rPr>
              <w:t>210</w:t>
            </w:r>
          </w:p>
        </w:tc>
        <w:tc>
          <w:tcPr>
            <w:tcW w:w="721" w:type="dxa"/>
          </w:tcPr>
          <w:p w:rsidR="00000000" w:rsidRDefault="00D35856">
            <w:pPr>
              <w:keepNext w:val="0"/>
              <w:widowControl w:val="0"/>
              <w:spacing w:after="40"/>
              <w:jc w:val="right"/>
              <w:rPr>
                <w:rFonts w:ascii="Arial" w:hAnsi="Arial" w:cs="Arial"/>
                <w:b/>
                <w:sz w:val="18"/>
                <w:szCs w:val="18"/>
              </w:rPr>
            </w:pPr>
            <w:r>
              <w:rPr>
                <w:rFonts w:ascii="Arial" w:hAnsi="Arial" w:cs="Arial"/>
                <w:b/>
                <w:sz w:val="18"/>
                <w:szCs w:val="18"/>
              </w:rPr>
              <w:t>31</w:t>
            </w:r>
          </w:p>
        </w:tc>
        <w:tc>
          <w:tcPr>
            <w:tcW w:w="743" w:type="dxa"/>
          </w:tcPr>
          <w:p w:rsidR="00000000" w:rsidRDefault="00D35856">
            <w:pPr>
              <w:keepNext w:val="0"/>
              <w:widowControl w:val="0"/>
              <w:spacing w:after="40"/>
              <w:jc w:val="right"/>
              <w:rPr>
                <w:rFonts w:ascii="Arial" w:hAnsi="Arial" w:cs="Arial"/>
                <w:b/>
                <w:sz w:val="18"/>
                <w:szCs w:val="18"/>
              </w:rPr>
            </w:pPr>
            <w:r>
              <w:rPr>
                <w:rFonts w:ascii="Arial" w:hAnsi="Arial" w:cs="Arial"/>
                <w:b/>
                <w:sz w:val="18"/>
                <w:szCs w:val="18"/>
              </w:rPr>
              <w:t>149</w:t>
            </w:r>
          </w:p>
        </w:tc>
        <w:tc>
          <w:tcPr>
            <w:tcW w:w="706" w:type="dxa"/>
          </w:tcPr>
          <w:p w:rsidR="00000000" w:rsidRDefault="00D35856">
            <w:pPr>
              <w:keepNext w:val="0"/>
              <w:widowControl w:val="0"/>
              <w:spacing w:after="40"/>
              <w:jc w:val="right"/>
              <w:rPr>
                <w:rFonts w:ascii="Arial" w:hAnsi="Arial" w:cs="Arial"/>
                <w:b/>
                <w:sz w:val="18"/>
                <w:szCs w:val="18"/>
              </w:rPr>
            </w:pPr>
            <w:r>
              <w:rPr>
                <w:rFonts w:ascii="Arial" w:hAnsi="Arial" w:cs="Arial"/>
                <w:b/>
                <w:sz w:val="18"/>
                <w:szCs w:val="18"/>
              </w:rPr>
              <w:t>276</w:t>
            </w:r>
          </w:p>
        </w:tc>
        <w:tc>
          <w:tcPr>
            <w:tcW w:w="747" w:type="dxa"/>
          </w:tcPr>
          <w:p w:rsidR="00000000" w:rsidRDefault="00D35856">
            <w:pPr>
              <w:keepNext w:val="0"/>
              <w:widowControl w:val="0"/>
              <w:spacing w:after="40"/>
              <w:jc w:val="right"/>
              <w:rPr>
                <w:rFonts w:ascii="Arial" w:hAnsi="Arial" w:cs="Arial"/>
                <w:b/>
                <w:sz w:val="18"/>
                <w:szCs w:val="18"/>
              </w:rPr>
            </w:pPr>
            <w:r>
              <w:rPr>
                <w:rFonts w:ascii="Arial" w:hAnsi="Arial" w:cs="Arial"/>
                <w:b/>
                <w:sz w:val="18"/>
                <w:szCs w:val="18"/>
              </w:rPr>
              <w:t>460</w:t>
            </w:r>
          </w:p>
        </w:tc>
        <w:tc>
          <w:tcPr>
            <w:tcW w:w="643" w:type="dxa"/>
          </w:tcPr>
          <w:p w:rsidR="00000000" w:rsidRDefault="00D35856">
            <w:pPr>
              <w:keepNext w:val="0"/>
              <w:widowControl w:val="0"/>
              <w:spacing w:after="40"/>
              <w:jc w:val="right"/>
              <w:rPr>
                <w:rFonts w:ascii="Arial" w:hAnsi="Arial" w:cs="Arial"/>
                <w:b/>
                <w:sz w:val="18"/>
                <w:szCs w:val="18"/>
              </w:rPr>
            </w:pPr>
            <w:r>
              <w:rPr>
                <w:rFonts w:ascii="Arial" w:hAnsi="Arial" w:cs="Arial"/>
                <w:b/>
                <w:sz w:val="18"/>
                <w:szCs w:val="18"/>
              </w:rPr>
              <w:t>47</w:t>
            </w:r>
          </w:p>
        </w:tc>
        <w:tc>
          <w:tcPr>
            <w:tcW w:w="694" w:type="dxa"/>
          </w:tcPr>
          <w:p w:rsidR="00000000" w:rsidRDefault="00D35856">
            <w:pPr>
              <w:keepNext w:val="0"/>
              <w:widowControl w:val="0"/>
              <w:spacing w:after="40"/>
              <w:jc w:val="right"/>
              <w:rPr>
                <w:rFonts w:ascii="Arial" w:hAnsi="Arial" w:cs="Arial"/>
                <w:b/>
                <w:sz w:val="18"/>
                <w:szCs w:val="18"/>
              </w:rPr>
            </w:pPr>
            <w:r>
              <w:rPr>
                <w:rFonts w:ascii="Arial" w:hAnsi="Arial" w:cs="Arial"/>
                <w:b/>
                <w:sz w:val="18"/>
                <w:szCs w:val="18"/>
              </w:rPr>
              <w:t>1421</w:t>
            </w:r>
          </w:p>
        </w:tc>
      </w:tr>
      <w:tr w:rsidR="00000000">
        <w:tc>
          <w:tcPr>
            <w:tcW w:w="1384" w:type="dxa"/>
            <w:tcBorders>
              <w:right w:val="nil"/>
            </w:tcBorders>
            <w:shd w:val="clear" w:color="auto" w:fill="A6A6A6"/>
          </w:tcPr>
          <w:p w:rsidR="00000000" w:rsidRDefault="00D35856">
            <w:pPr>
              <w:keepNext w:val="0"/>
              <w:widowControl w:val="0"/>
              <w:spacing w:after="40"/>
              <w:rPr>
                <w:rFonts w:ascii="Arial" w:hAnsi="Arial" w:cs="Arial"/>
                <w:b/>
                <w:sz w:val="6"/>
                <w:szCs w:val="6"/>
              </w:rPr>
            </w:pPr>
          </w:p>
        </w:tc>
        <w:tc>
          <w:tcPr>
            <w:tcW w:w="1196" w:type="dxa"/>
            <w:tcBorders>
              <w:left w:val="nil"/>
              <w:right w:val="nil"/>
            </w:tcBorders>
            <w:shd w:val="clear" w:color="auto" w:fill="A6A6A6"/>
          </w:tcPr>
          <w:p w:rsidR="00000000" w:rsidRDefault="00D35856">
            <w:pPr>
              <w:keepNext w:val="0"/>
              <w:widowControl w:val="0"/>
              <w:spacing w:after="40"/>
              <w:rPr>
                <w:rFonts w:ascii="Arial" w:hAnsi="Arial" w:cs="Arial"/>
                <w:sz w:val="18"/>
                <w:szCs w:val="18"/>
              </w:rPr>
            </w:pPr>
          </w:p>
        </w:tc>
        <w:tc>
          <w:tcPr>
            <w:tcW w:w="802" w:type="dxa"/>
            <w:tcBorders>
              <w:left w:val="nil"/>
              <w:right w:val="nil"/>
            </w:tcBorders>
            <w:shd w:val="clear" w:color="auto" w:fill="A6A6A6"/>
            <w:vAlign w:val="bottom"/>
          </w:tcPr>
          <w:p w:rsidR="00000000" w:rsidRDefault="00D35856">
            <w:pPr>
              <w:keepNext w:val="0"/>
              <w:widowControl w:val="0"/>
              <w:spacing w:after="40"/>
              <w:jc w:val="right"/>
              <w:rPr>
                <w:rFonts w:ascii="Arial" w:hAnsi="Arial" w:cs="Arial"/>
                <w:sz w:val="18"/>
                <w:szCs w:val="18"/>
              </w:rPr>
            </w:pPr>
          </w:p>
        </w:tc>
        <w:tc>
          <w:tcPr>
            <w:tcW w:w="791" w:type="dxa"/>
            <w:tcBorders>
              <w:left w:val="nil"/>
              <w:right w:val="nil"/>
            </w:tcBorders>
            <w:shd w:val="clear" w:color="auto" w:fill="A6A6A6"/>
            <w:vAlign w:val="bottom"/>
          </w:tcPr>
          <w:p w:rsidR="00000000" w:rsidRDefault="00D35856">
            <w:pPr>
              <w:keepNext w:val="0"/>
              <w:widowControl w:val="0"/>
              <w:spacing w:after="40"/>
              <w:jc w:val="right"/>
              <w:rPr>
                <w:rFonts w:ascii="Arial" w:hAnsi="Arial" w:cs="Arial"/>
                <w:sz w:val="18"/>
                <w:szCs w:val="18"/>
              </w:rPr>
            </w:pPr>
          </w:p>
        </w:tc>
        <w:tc>
          <w:tcPr>
            <w:tcW w:w="721" w:type="dxa"/>
            <w:tcBorders>
              <w:left w:val="nil"/>
              <w:right w:val="nil"/>
            </w:tcBorders>
            <w:shd w:val="clear" w:color="auto" w:fill="A6A6A6"/>
            <w:vAlign w:val="bottom"/>
          </w:tcPr>
          <w:p w:rsidR="00000000" w:rsidRDefault="00D35856">
            <w:pPr>
              <w:keepNext w:val="0"/>
              <w:widowControl w:val="0"/>
              <w:spacing w:after="40"/>
              <w:jc w:val="right"/>
              <w:rPr>
                <w:rFonts w:ascii="Arial" w:hAnsi="Arial" w:cs="Arial"/>
                <w:sz w:val="18"/>
                <w:szCs w:val="18"/>
              </w:rPr>
            </w:pPr>
          </w:p>
        </w:tc>
        <w:tc>
          <w:tcPr>
            <w:tcW w:w="743" w:type="dxa"/>
            <w:tcBorders>
              <w:left w:val="nil"/>
              <w:right w:val="nil"/>
            </w:tcBorders>
            <w:shd w:val="clear" w:color="auto" w:fill="A6A6A6"/>
            <w:vAlign w:val="bottom"/>
          </w:tcPr>
          <w:p w:rsidR="00000000" w:rsidRDefault="00D35856">
            <w:pPr>
              <w:keepNext w:val="0"/>
              <w:widowControl w:val="0"/>
              <w:spacing w:after="40"/>
              <w:jc w:val="right"/>
              <w:rPr>
                <w:rFonts w:ascii="Arial" w:hAnsi="Arial" w:cs="Arial"/>
                <w:sz w:val="18"/>
                <w:szCs w:val="18"/>
              </w:rPr>
            </w:pPr>
          </w:p>
        </w:tc>
        <w:tc>
          <w:tcPr>
            <w:tcW w:w="706" w:type="dxa"/>
            <w:tcBorders>
              <w:left w:val="nil"/>
              <w:right w:val="nil"/>
            </w:tcBorders>
            <w:shd w:val="clear" w:color="auto" w:fill="A6A6A6"/>
            <w:vAlign w:val="bottom"/>
          </w:tcPr>
          <w:p w:rsidR="00000000" w:rsidRDefault="00D35856">
            <w:pPr>
              <w:keepNext w:val="0"/>
              <w:widowControl w:val="0"/>
              <w:spacing w:after="40"/>
              <w:jc w:val="right"/>
              <w:rPr>
                <w:rFonts w:ascii="Arial" w:hAnsi="Arial" w:cs="Arial"/>
                <w:sz w:val="18"/>
                <w:szCs w:val="18"/>
              </w:rPr>
            </w:pPr>
          </w:p>
        </w:tc>
        <w:tc>
          <w:tcPr>
            <w:tcW w:w="747" w:type="dxa"/>
            <w:tcBorders>
              <w:left w:val="nil"/>
              <w:right w:val="nil"/>
            </w:tcBorders>
            <w:shd w:val="clear" w:color="auto" w:fill="A6A6A6"/>
            <w:vAlign w:val="bottom"/>
          </w:tcPr>
          <w:p w:rsidR="00000000" w:rsidRDefault="00D35856">
            <w:pPr>
              <w:keepNext w:val="0"/>
              <w:widowControl w:val="0"/>
              <w:spacing w:after="40"/>
              <w:jc w:val="right"/>
              <w:rPr>
                <w:rFonts w:ascii="Arial" w:hAnsi="Arial" w:cs="Arial"/>
                <w:sz w:val="18"/>
                <w:szCs w:val="18"/>
              </w:rPr>
            </w:pPr>
          </w:p>
        </w:tc>
        <w:tc>
          <w:tcPr>
            <w:tcW w:w="643" w:type="dxa"/>
            <w:tcBorders>
              <w:left w:val="nil"/>
              <w:right w:val="nil"/>
            </w:tcBorders>
            <w:shd w:val="clear" w:color="auto" w:fill="A6A6A6"/>
            <w:vAlign w:val="bottom"/>
          </w:tcPr>
          <w:p w:rsidR="00000000" w:rsidRDefault="00D35856">
            <w:pPr>
              <w:keepNext w:val="0"/>
              <w:widowControl w:val="0"/>
              <w:spacing w:after="40"/>
              <w:jc w:val="right"/>
              <w:rPr>
                <w:rFonts w:ascii="Arial" w:hAnsi="Arial" w:cs="Arial"/>
                <w:sz w:val="18"/>
                <w:szCs w:val="18"/>
              </w:rPr>
            </w:pPr>
          </w:p>
        </w:tc>
        <w:tc>
          <w:tcPr>
            <w:tcW w:w="694" w:type="dxa"/>
            <w:tcBorders>
              <w:left w:val="nil"/>
            </w:tcBorders>
            <w:shd w:val="clear" w:color="auto" w:fill="A6A6A6"/>
            <w:vAlign w:val="bottom"/>
          </w:tcPr>
          <w:p w:rsidR="00000000" w:rsidRDefault="00D35856">
            <w:pPr>
              <w:keepNext w:val="0"/>
              <w:widowControl w:val="0"/>
              <w:spacing w:after="40"/>
              <w:jc w:val="right"/>
              <w:rPr>
                <w:rFonts w:ascii="Arial" w:hAnsi="Arial" w:cs="Arial"/>
                <w:sz w:val="18"/>
                <w:szCs w:val="18"/>
              </w:rPr>
            </w:pPr>
          </w:p>
        </w:tc>
      </w:tr>
      <w:tr w:rsidR="00000000">
        <w:tc>
          <w:tcPr>
            <w:tcW w:w="1384" w:type="dxa"/>
            <w:vMerge w:val="restart"/>
          </w:tcPr>
          <w:p w:rsidR="00000000" w:rsidRDefault="00D35856">
            <w:pPr>
              <w:keepNext w:val="0"/>
              <w:widowControl w:val="0"/>
              <w:spacing w:after="40"/>
              <w:rPr>
                <w:rFonts w:ascii="Arial" w:hAnsi="Arial" w:cs="Arial"/>
                <w:b/>
                <w:sz w:val="18"/>
                <w:szCs w:val="18"/>
              </w:rPr>
            </w:pPr>
            <w:r>
              <w:rPr>
                <w:rFonts w:ascii="Arial" w:hAnsi="Arial" w:cs="Arial"/>
                <w:b/>
                <w:sz w:val="18"/>
                <w:szCs w:val="18"/>
              </w:rPr>
              <w:t>Additions (do not require test or fee)</w:t>
            </w:r>
          </w:p>
          <w:p w:rsidR="00000000" w:rsidRDefault="00D35856">
            <w:pPr>
              <w:keepNext w:val="0"/>
              <w:widowControl w:val="0"/>
              <w:spacing w:after="40"/>
              <w:rPr>
                <w:rFonts w:ascii="Arial" w:hAnsi="Arial" w:cs="Arial"/>
                <w:sz w:val="18"/>
                <w:szCs w:val="18"/>
              </w:rPr>
            </w:pPr>
          </w:p>
        </w:tc>
        <w:tc>
          <w:tcPr>
            <w:tcW w:w="1196" w:type="dxa"/>
          </w:tcPr>
          <w:p w:rsidR="00000000" w:rsidRDefault="00D35856">
            <w:pPr>
              <w:keepNext w:val="0"/>
              <w:widowControl w:val="0"/>
              <w:spacing w:after="40"/>
              <w:rPr>
                <w:rFonts w:ascii="Arial" w:hAnsi="Arial" w:cs="Arial"/>
                <w:sz w:val="18"/>
                <w:szCs w:val="18"/>
              </w:rPr>
            </w:pPr>
            <w:r>
              <w:rPr>
                <w:rFonts w:ascii="Arial" w:hAnsi="Arial" w:cs="Arial"/>
                <w:sz w:val="18"/>
                <w:szCs w:val="18"/>
              </w:rPr>
              <w:t>2005-2006</w:t>
            </w:r>
          </w:p>
        </w:tc>
        <w:tc>
          <w:tcPr>
            <w:tcW w:w="802"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w:t>
            </w:r>
          </w:p>
        </w:tc>
        <w:tc>
          <w:tcPr>
            <w:tcW w:w="791"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3</w:t>
            </w:r>
          </w:p>
        </w:tc>
        <w:tc>
          <w:tcPr>
            <w:tcW w:w="721"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0</w:t>
            </w:r>
          </w:p>
        </w:tc>
        <w:tc>
          <w:tcPr>
            <w:tcW w:w="743"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81</w:t>
            </w:r>
          </w:p>
        </w:tc>
        <w:tc>
          <w:tcPr>
            <w:tcW w:w="706"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139</w:t>
            </w:r>
          </w:p>
        </w:tc>
        <w:tc>
          <w:tcPr>
            <w:tcW w:w="747"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184</w:t>
            </w:r>
          </w:p>
        </w:tc>
        <w:tc>
          <w:tcPr>
            <w:tcW w:w="643"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5</w:t>
            </w:r>
          </w:p>
        </w:tc>
        <w:tc>
          <w:tcPr>
            <w:tcW w:w="694"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413</w:t>
            </w:r>
          </w:p>
        </w:tc>
      </w:tr>
      <w:tr w:rsidR="00000000">
        <w:tc>
          <w:tcPr>
            <w:tcW w:w="1384" w:type="dxa"/>
            <w:vMerge/>
          </w:tcPr>
          <w:p w:rsidR="00000000" w:rsidRDefault="00D35856">
            <w:pPr>
              <w:keepNext w:val="0"/>
              <w:widowControl w:val="0"/>
              <w:spacing w:after="40"/>
              <w:rPr>
                <w:rFonts w:ascii="Arial" w:hAnsi="Arial" w:cs="Arial"/>
                <w:sz w:val="18"/>
                <w:szCs w:val="18"/>
              </w:rPr>
            </w:pPr>
          </w:p>
        </w:tc>
        <w:tc>
          <w:tcPr>
            <w:tcW w:w="1196" w:type="dxa"/>
          </w:tcPr>
          <w:p w:rsidR="00000000" w:rsidRDefault="00D35856">
            <w:pPr>
              <w:keepNext w:val="0"/>
              <w:widowControl w:val="0"/>
              <w:spacing w:after="40"/>
              <w:rPr>
                <w:rFonts w:ascii="Arial" w:hAnsi="Arial" w:cs="Arial"/>
                <w:sz w:val="18"/>
                <w:szCs w:val="18"/>
              </w:rPr>
            </w:pPr>
            <w:r>
              <w:rPr>
                <w:rFonts w:ascii="Arial" w:hAnsi="Arial" w:cs="Arial"/>
                <w:sz w:val="18"/>
                <w:szCs w:val="18"/>
              </w:rPr>
              <w:t>2006-2007</w:t>
            </w:r>
          </w:p>
        </w:tc>
        <w:tc>
          <w:tcPr>
            <w:tcW w:w="802"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4</w:t>
            </w:r>
          </w:p>
        </w:tc>
        <w:tc>
          <w:tcPr>
            <w:tcW w:w="791"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8</w:t>
            </w:r>
          </w:p>
        </w:tc>
        <w:tc>
          <w:tcPr>
            <w:tcW w:w="721"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20</w:t>
            </w:r>
          </w:p>
        </w:tc>
        <w:tc>
          <w:tcPr>
            <w:tcW w:w="743"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66</w:t>
            </w:r>
          </w:p>
        </w:tc>
        <w:tc>
          <w:tcPr>
            <w:tcW w:w="706"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132</w:t>
            </w:r>
          </w:p>
        </w:tc>
        <w:tc>
          <w:tcPr>
            <w:tcW w:w="747"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192</w:t>
            </w:r>
          </w:p>
        </w:tc>
        <w:tc>
          <w:tcPr>
            <w:tcW w:w="643"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4</w:t>
            </w:r>
          </w:p>
        </w:tc>
        <w:tc>
          <w:tcPr>
            <w:tcW w:w="694"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426</w:t>
            </w:r>
          </w:p>
        </w:tc>
      </w:tr>
      <w:tr w:rsidR="00000000">
        <w:tc>
          <w:tcPr>
            <w:tcW w:w="1384" w:type="dxa"/>
            <w:vMerge/>
          </w:tcPr>
          <w:p w:rsidR="00000000" w:rsidRDefault="00D35856">
            <w:pPr>
              <w:keepNext w:val="0"/>
              <w:widowControl w:val="0"/>
              <w:spacing w:after="40"/>
              <w:rPr>
                <w:rFonts w:ascii="Arial" w:hAnsi="Arial" w:cs="Arial"/>
                <w:sz w:val="18"/>
                <w:szCs w:val="18"/>
              </w:rPr>
            </w:pPr>
          </w:p>
        </w:tc>
        <w:tc>
          <w:tcPr>
            <w:tcW w:w="1196" w:type="dxa"/>
          </w:tcPr>
          <w:p w:rsidR="00000000" w:rsidRDefault="00D35856">
            <w:pPr>
              <w:keepNext w:val="0"/>
              <w:widowControl w:val="0"/>
              <w:spacing w:after="40"/>
              <w:rPr>
                <w:rFonts w:ascii="Arial" w:hAnsi="Arial" w:cs="Arial"/>
                <w:sz w:val="18"/>
                <w:szCs w:val="18"/>
              </w:rPr>
            </w:pPr>
            <w:r>
              <w:rPr>
                <w:rFonts w:ascii="Arial" w:hAnsi="Arial" w:cs="Arial"/>
                <w:sz w:val="18"/>
                <w:szCs w:val="18"/>
              </w:rPr>
              <w:t>2007-2008*</w:t>
            </w:r>
          </w:p>
        </w:tc>
        <w:tc>
          <w:tcPr>
            <w:tcW w:w="802"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3</w:t>
            </w:r>
          </w:p>
        </w:tc>
        <w:tc>
          <w:tcPr>
            <w:tcW w:w="791"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0</w:t>
            </w:r>
          </w:p>
        </w:tc>
        <w:tc>
          <w:tcPr>
            <w:tcW w:w="721"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8</w:t>
            </w:r>
          </w:p>
        </w:tc>
        <w:tc>
          <w:tcPr>
            <w:tcW w:w="743"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42</w:t>
            </w:r>
          </w:p>
        </w:tc>
        <w:tc>
          <w:tcPr>
            <w:tcW w:w="706"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33</w:t>
            </w:r>
          </w:p>
        </w:tc>
        <w:tc>
          <w:tcPr>
            <w:tcW w:w="747"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87</w:t>
            </w:r>
          </w:p>
        </w:tc>
        <w:tc>
          <w:tcPr>
            <w:tcW w:w="643"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0</w:t>
            </w:r>
          </w:p>
        </w:tc>
        <w:tc>
          <w:tcPr>
            <w:tcW w:w="694"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173</w:t>
            </w:r>
          </w:p>
        </w:tc>
      </w:tr>
      <w:tr w:rsidR="00000000">
        <w:tc>
          <w:tcPr>
            <w:tcW w:w="1384" w:type="dxa"/>
            <w:vMerge/>
          </w:tcPr>
          <w:p w:rsidR="00000000" w:rsidRDefault="00D35856">
            <w:pPr>
              <w:keepNext w:val="0"/>
              <w:widowControl w:val="0"/>
              <w:spacing w:after="40"/>
              <w:rPr>
                <w:rFonts w:ascii="Arial" w:hAnsi="Arial" w:cs="Arial"/>
                <w:sz w:val="18"/>
                <w:szCs w:val="18"/>
              </w:rPr>
            </w:pPr>
          </w:p>
        </w:tc>
        <w:tc>
          <w:tcPr>
            <w:tcW w:w="1196" w:type="dxa"/>
          </w:tcPr>
          <w:p w:rsidR="00000000" w:rsidRDefault="00D35856">
            <w:pPr>
              <w:keepNext w:val="0"/>
              <w:widowControl w:val="0"/>
              <w:spacing w:after="40"/>
              <w:rPr>
                <w:rFonts w:ascii="Arial" w:hAnsi="Arial" w:cs="Arial"/>
                <w:b/>
                <w:sz w:val="18"/>
                <w:szCs w:val="18"/>
              </w:rPr>
            </w:pPr>
            <w:r>
              <w:rPr>
                <w:rFonts w:ascii="Arial" w:hAnsi="Arial" w:cs="Arial"/>
                <w:b/>
                <w:sz w:val="18"/>
                <w:szCs w:val="18"/>
              </w:rPr>
              <w:t>SUBTOTAL</w:t>
            </w:r>
          </w:p>
        </w:tc>
        <w:tc>
          <w:tcPr>
            <w:tcW w:w="802" w:type="dxa"/>
            <w:vAlign w:val="bottom"/>
          </w:tcPr>
          <w:p w:rsidR="00000000" w:rsidRDefault="00D35856">
            <w:pPr>
              <w:keepNext w:val="0"/>
              <w:widowControl w:val="0"/>
              <w:spacing w:after="40"/>
              <w:jc w:val="right"/>
              <w:rPr>
                <w:rFonts w:ascii="Arial" w:hAnsi="Arial" w:cs="Arial"/>
                <w:b/>
                <w:sz w:val="18"/>
                <w:szCs w:val="18"/>
              </w:rPr>
            </w:pPr>
            <w:r>
              <w:rPr>
                <w:rFonts w:ascii="Arial" w:hAnsi="Arial" w:cs="Arial"/>
                <w:b/>
                <w:sz w:val="18"/>
                <w:szCs w:val="18"/>
              </w:rPr>
              <w:t>8</w:t>
            </w:r>
          </w:p>
        </w:tc>
        <w:tc>
          <w:tcPr>
            <w:tcW w:w="791" w:type="dxa"/>
            <w:vAlign w:val="bottom"/>
          </w:tcPr>
          <w:p w:rsidR="00000000" w:rsidRDefault="00D35856">
            <w:pPr>
              <w:keepNext w:val="0"/>
              <w:widowControl w:val="0"/>
              <w:spacing w:after="40"/>
              <w:jc w:val="right"/>
              <w:rPr>
                <w:rFonts w:ascii="Arial" w:hAnsi="Arial" w:cs="Arial"/>
                <w:b/>
                <w:sz w:val="18"/>
                <w:szCs w:val="18"/>
              </w:rPr>
            </w:pPr>
            <w:r>
              <w:rPr>
                <w:rFonts w:ascii="Arial" w:hAnsi="Arial" w:cs="Arial"/>
                <w:b/>
                <w:sz w:val="18"/>
                <w:szCs w:val="18"/>
              </w:rPr>
              <w:t>11</w:t>
            </w:r>
          </w:p>
        </w:tc>
        <w:tc>
          <w:tcPr>
            <w:tcW w:w="721" w:type="dxa"/>
            <w:vAlign w:val="bottom"/>
          </w:tcPr>
          <w:p w:rsidR="00000000" w:rsidRDefault="00D35856">
            <w:pPr>
              <w:keepNext w:val="0"/>
              <w:widowControl w:val="0"/>
              <w:spacing w:after="40"/>
              <w:jc w:val="right"/>
              <w:rPr>
                <w:rFonts w:ascii="Arial" w:hAnsi="Arial" w:cs="Arial"/>
                <w:b/>
                <w:sz w:val="18"/>
                <w:szCs w:val="18"/>
              </w:rPr>
            </w:pPr>
            <w:r>
              <w:rPr>
                <w:rFonts w:ascii="Arial" w:hAnsi="Arial" w:cs="Arial"/>
                <w:b/>
                <w:sz w:val="18"/>
                <w:szCs w:val="18"/>
              </w:rPr>
              <w:t>28</w:t>
            </w:r>
          </w:p>
        </w:tc>
        <w:tc>
          <w:tcPr>
            <w:tcW w:w="743" w:type="dxa"/>
            <w:vAlign w:val="bottom"/>
          </w:tcPr>
          <w:p w:rsidR="00000000" w:rsidRDefault="00D35856">
            <w:pPr>
              <w:keepNext w:val="0"/>
              <w:widowControl w:val="0"/>
              <w:spacing w:after="40"/>
              <w:jc w:val="right"/>
              <w:rPr>
                <w:rFonts w:ascii="Arial" w:hAnsi="Arial" w:cs="Arial"/>
                <w:b/>
                <w:sz w:val="18"/>
                <w:szCs w:val="18"/>
              </w:rPr>
            </w:pPr>
            <w:r>
              <w:rPr>
                <w:rFonts w:ascii="Arial" w:hAnsi="Arial" w:cs="Arial"/>
                <w:b/>
                <w:sz w:val="18"/>
                <w:szCs w:val="18"/>
              </w:rPr>
              <w:t>189</w:t>
            </w:r>
          </w:p>
        </w:tc>
        <w:tc>
          <w:tcPr>
            <w:tcW w:w="706" w:type="dxa"/>
            <w:vAlign w:val="bottom"/>
          </w:tcPr>
          <w:p w:rsidR="00000000" w:rsidRDefault="00D35856">
            <w:pPr>
              <w:keepNext w:val="0"/>
              <w:widowControl w:val="0"/>
              <w:spacing w:after="40"/>
              <w:jc w:val="right"/>
              <w:rPr>
                <w:rFonts w:ascii="Arial" w:hAnsi="Arial" w:cs="Arial"/>
                <w:b/>
                <w:sz w:val="18"/>
                <w:szCs w:val="18"/>
              </w:rPr>
            </w:pPr>
            <w:r>
              <w:rPr>
                <w:rFonts w:ascii="Arial" w:hAnsi="Arial" w:cs="Arial"/>
                <w:b/>
                <w:sz w:val="18"/>
                <w:szCs w:val="18"/>
              </w:rPr>
              <w:t>304</w:t>
            </w:r>
          </w:p>
        </w:tc>
        <w:tc>
          <w:tcPr>
            <w:tcW w:w="747" w:type="dxa"/>
            <w:vAlign w:val="bottom"/>
          </w:tcPr>
          <w:p w:rsidR="00000000" w:rsidRDefault="00D35856">
            <w:pPr>
              <w:keepNext w:val="0"/>
              <w:widowControl w:val="0"/>
              <w:spacing w:after="40"/>
              <w:jc w:val="right"/>
              <w:rPr>
                <w:rFonts w:ascii="Arial" w:hAnsi="Arial" w:cs="Arial"/>
                <w:b/>
                <w:sz w:val="18"/>
                <w:szCs w:val="18"/>
              </w:rPr>
            </w:pPr>
            <w:r>
              <w:rPr>
                <w:rFonts w:ascii="Arial" w:hAnsi="Arial" w:cs="Arial"/>
                <w:b/>
                <w:sz w:val="18"/>
                <w:szCs w:val="18"/>
              </w:rPr>
              <w:t>463</w:t>
            </w:r>
          </w:p>
        </w:tc>
        <w:tc>
          <w:tcPr>
            <w:tcW w:w="643" w:type="dxa"/>
            <w:vAlign w:val="bottom"/>
          </w:tcPr>
          <w:p w:rsidR="00000000" w:rsidRDefault="00D35856">
            <w:pPr>
              <w:keepNext w:val="0"/>
              <w:widowControl w:val="0"/>
              <w:spacing w:after="40"/>
              <w:jc w:val="right"/>
              <w:rPr>
                <w:rFonts w:ascii="Arial" w:hAnsi="Arial" w:cs="Arial"/>
                <w:b/>
                <w:sz w:val="18"/>
                <w:szCs w:val="18"/>
              </w:rPr>
            </w:pPr>
            <w:r>
              <w:rPr>
                <w:rFonts w:ascii="Arial" w:hAnsi="Arial" w:cs="Arial"/>
                <w:b/>
                <w:sz w:val="18"/>
                <w:szCs w:val="18"/>
              </w:rPr>
              <w:t>9</w:t>
            </w:r>
          </w:p>
        </w:tc>
        <w:tc>
          <w:tcPr>
            <w:tcW w:w="694" w:type="dxa"/>
            <w:vAlign w:val="bottom"/>
          </w:tcPr>
          <w:p w:rsidR="00000000" w:rsidRDefault="00D35856">
            <w:pPr>
              <w:keepNext w:val="0"/>
              <w:widowControl w:val="0"/>
              <w:spacing w:after="40"/>
              <w:jc w:val="right"/>
              <w:rPr>
                <w:rFonts w:ascii="Arial" w:hAnsi="Arial" w:cs="Arial"/>
                <w:b/>
                <w:sz w:val="18"/>
                <w:szCs w:val="18"/>
              </w:rPr>
            </w:pPr>
            <w:r>
              <w:rPr>
                <w:rFonts w:ascii="Arial" w:hAnsi="Arial" w:cs="Arial"/>
                <w:b/>
                <w:sz w:val="18"/>
                <w:szCs w:val="18"/>
              </w:rPr>
              <w:t>1012</w:t>
            </w:r>
          </w:p>
        </w:tc>
      </w:tr>
      <w:tr w:rsidR="00000000">
        <w:tc>
          <w:tcPr>
            <w:tcW w:w="1384" w:type="dxa"/>
            <w:tcBorders>
              <w:right w:val="nil"/>
            </w:tcBorders>
            <w:shd w:val="clear" w:color="auto" w:fill="A6A6A6"/>
          </w:tcPr>
          <w:p w:rsidR="00000000" w:rsidRDefault="00D35856">
            <w:pPr>
              <w:keepNext w:val="0"/>
              <w:widowControl w:val="0"/>
              <w:spacing w:after="40"/>
              <w:rPr>
                <w:rFonts w:ascii="Arial" w:hAnsi="Arial" w:cs="Arial"/>
                <w:b/>
                <w:sz w:val="6"/>
                <w:szCs w:val="6"/>
              </w:rPr>
            </w:pPr>
          </w:p>
        </w:tc>
        <w:tc>
          <w:tcPr>
            <w:tcW w:w="1196" w:type="dxa"/>
            <w:tcBorders>
              <w:left w:val="nil"/>
              <w:right w:val="nil"/>
            </w:tcBorders>
            <w:shd w:val="clear" w:color="auto" w:fill="A6A6A6"/>
          </w:tcPr>
          <w:p w:rsidR="00000000" w:rsidRDefault="00D35856">
            <w:pPr>
              <w:keepNext w:val="0"/>
              <w:widowControl w:val="0"/>
              <w:spacing w:after="40"/>
              <w:rPr>
                <w:rFonts w:ascii="Arial" w:hAnsi="Arial" w:cs="Arial"/>
                <w:sz w:val="18"/>
                <w:szCs w:val="18"/>
              </w:rPr>
            </w:pPr>
          </w:p>
        </w:tc>
        <w:tc>
          <w:tcPr>
            <w:tcW w:w="802" w:type="dxa"/>
            <w:tcBorders>
              <w:left w:val="nil"/>
              <w:right w:val="nil"/>
            </w:tcBorders>
            <w:shd w:val="clear" w:color="auto" w:fill="A6A6A6"/>
            <w:vAlign w:val="bottom"/>
          </w:tcPr>
          <w:p w:rsidR="00000000" w:rsidRDefault="00D35856">
            <w:pPr>
              <w:keepNext w:val="0"/>
              <w:widowControl w:val="0"/>
              <w:spacing w:after="40"/>
              <w:jc w:val="right"/>
              <w:rPr>
                <w:rFonts w:ascii="Arial" w:hAnsi="Arial" w:cs="Arial"/>
                <w:sz w:val="18"/>
                <w:szCs w:val="18"/>
              </w:rPr>
            </w:pPr>
          </w:p>
        </w:tc>
        <w:tc>
          <w:tcPr>
            <w:tcW w:w="791" w:type="dxa"/>
            <w:tcBorders>
              <w:left w:val="nil"/>
              <w:right w:val="nil"/>
            </w:tcBorders>
            <w:shd w:val="clear" w:color="auto" w:fill="A6A6A6"/>
            <w:vAlign w:val="bottom"/>
          </w:tcPr>
          <w:p w:rsidR="00000000" w:rsidRDefault="00D35856">
            <w:pPr>
              <w:keepNext w:val="0"/>
              <w:widowControl w:val="0"/>
              <w:spacing w:after="40"/>
              <w:jc w:val="right"/>
              <w:rPr>
                <w:rFonts w:ascii="Arial" w:hAnsi="Arial" w:cs="Arial"/>
                <w:sz w:val="18"/>
                <w:szCs w:val="18"/>
              </w:rPr>
            </w:pPr>
          </w:p>
        </w:tc>
        <w:tc>
          <w:tcPr>
            <w:tcW w:w="721" w:type="dxa"/>
            <w:tcBorders>
              <w:left w:val="nil"/>
              <w:right w:val="nil"/>
            </w:tcBorders>
            <w:shd w:val="clear" w:color="auto" w:fill="A6A6A6"/>
            <w:vAlign w:val="bottom"/>
          </w:tcPr>
          <w:p w:rsidR="00000000" w:rsidRDefault="00D35856">
            <w:pPr>
              <w:keepNext w:val="0"/>
              <w:widowControl w:val="0"/>
              <w:spacing w:after="40"/>
              <w:jc w:val="right"/>
              <w:rPr>
                <w:rFonts w:ascii="Arial" w:hAnsi="Arial" w:cs="Arial"/>
                <w:sz w:val="18"/>
                <w:szCs w:val="18"/>
              </w:rPr>
            </w:pPr>
          </w:p>
        </w:tc>
        <w:tc>
          <w:tcPr>
            <w:tcW w:w="743" w:type="dxa"/>
            <w:tcBorders>
              <w:left w:val="nil"/>
              <w:right w:val="nil"/>
            </w:tcBorders>
            <w:shd w:val="clear" w:color="auto" w:fill="A6A6A6"/>
            <w:vAlign w:val="bottom"/>
          </w:tcPr>
          <w:p w:rsidR="00000000" w:rsidRDefault="00D35856">
            <w:pPr>
              <w:keepNext w:val="0"/>
              <w:widowControl w:val="0"/>
              <w:spacing w:after="40"/>
              <w:jc w:val="right"/>
              <w:rPr>
                <w:rFonts w:ascii="Arial" w:hAnsi="Arial" w:cs="Arial"/>
                <w:sz w:val="18"/>
                <w:szCs w:val="18"/>
              </w:rPr>
            </w:pPr>
          </w:p>
        </w:tc>
        <w:tc>
          <w:tcPr>
            <w:tcW w:w="706" w:type="dxa"/>
            <w:tcBorders>
              <w:left w:val="nil"/>
              <w:right w:val="nil"/>
            </w:tcBorders>
            <w:shd w:val="clear" w:color="auto" w:fill="A6A6A6"/>
            <w:vAlign w:val="bottom"/>
          </w:tcPr>
          <w:p w:rsidR="00000000" w:rsidRDefault="00D35856">
            <w:pPr>
              <w:keepNext w:val="0"/>
              <w:widowControl w:val="0"/>
              <w:spacing w:after="40"/>
              <w:jc w:val="right"/>
              <w:rPr>
                <w:rFonts w:ascii="Arial" w:hAnsi="Arial" w:cs="Arial"/>
                <w:sz w:val="18"/>
                <w:szCs w:val="18"/>
              </w:rPr>
            </w:pPr>
          </w:p>
        </w:tc>
        <w:tc>
          <w:tcPr>
            <w:tcW w:w="747" w:type="dxa"/>
            <w:tcBorders>
              <w:left w:val="nil"/>
              <w:right w:val="nil"/>
            </w:tcBorders>
            <w:shd w:val="clear" w:color="auto" w:fill="A6A6A6"/>
            <w:vAlign w:val="bottom"/>
          </w:tcPr>
          <w:p w:rsidR="00000000" w:rsidRDefault="00D35856">
            <w:pPr>
              <w:keepNext w:val="0"/>
              <w:widowControl w:val="0"/>
              <w:spacing w:after="40"/>
              <w:jc w:val="right"/>
              <w:rPr>
                <w:rFonts w:ascii="Arial" w:hAnsi="Arial" w:cs="Arial"/>
                <w:sz w:val="18"/>
                <w:szCs w:val="18"/>
              </w:rPr>
            </w:pPr>
          </w:p>
        </w:tc>
        <w:tc>
          <w:tcPr>
            <w:tcW w:w="643" w:type="dxa"/>
            <w:tcBorders>
              <w:left w:val="nil"/>
              <w:right w:val="nil"/>
            </w:tcBorders>
            <w:shd w:val="clear" w:color="auto" w:fill="A6A6A6"/>
            <w:vAlign w:val="bottom"/>
          </w:tcPr>
          <w:p w:rsidR="00000000" w:rsidRDefault="00D35856">
            <w:pPr>
              <w:keepNext w:val="0"/>
              <w:widowControl w:val="0"/>
              <w:spacing w:after="40"/>
              <w:jc w:val="right"/>
              <w:rPr>
                <w:rFonts w:ascii="Arial" w:hAnsi="Arial" w:cs="Arial"/>
                <w:sz w:val="18"/>
                <w:szCs w:val="18"/>
              </w:rPr>
            </w:pPr>
          </w:p>
        </w:tc>
        <w:tc>
          <w:tcPr>
            <w:tcW w:w="694" w:type="dxa"/>
            <w:tcBorders>
              <w:left w:val="nil"/>
            </w:tcBorders>
            <w:shd w:val="clear" w:color="auto" w:fill="A6A6A6"/>
            <w:vAlign w:val="bottom"/>
          </w:tcPr>
          <w:p w:rsidR="00000000" w:rsidRDefault="00D35856">
            <w:pPr>
              <w:keepNext w:val="0"/>
              <w:widowControl w:val="0"/>
              <w:spacing w:after="40"/>
              <w:jc w:val="right"/>
              <w:rPr>
                <w:rFonts w:ascii="Arial" w:hAnsi="Arial" w:cs="Arial"/>
                <w:sz w:val="18"/>
                <w:szCs w:val="18"/>
              </w:rPr>
            </w:pPr>
          </w:p>
        </w:tc>
      </w:tr>
      <w:tr w:rsidR="00000000">
        <w:tc>
          <w:tcPr>
            <w:tcW w:w="1384" w:type="dxa"/>
            <w:vMerge w:val="restart"/>
          </w:tcPr>
          <w:p w:rsidR="00000000" w:rsidRDefault="00D35856">
            <w:pPr>
              <w:keepNext w:val="0"/>
              <w:widowControl w:val="0"/>
              <w:spacing w:after="40"/>
              <w:rPr>
                <w:rFonts w:ascii="Arial" w:hAnsi="Arial" w:cs="Arial"/>
                <w:b/>
                <w:sz w:val="18"/>
                <w:szCs w:val="18"/>
              </w:rPr>
            </w:pPr>
            <w:r>
              <w:rPr>
                <w:rFonts w:ascii="Arial" w:hAnsi="Arial" w:cs="Arial"/>
                <w:b/>
                <w:sz w:val="18"/>
                <w:szCs w:val="18"/>
              </w:rPr>
              <w:t>Other</w:t>
            </w:r>
          </w:p>
          <w:p w:rsidR="00000000" w:rsidRDefault="00D35856">
            <w:pPr>
              <w:keepNext w:val="0"/>
              <w:widowControl w:val="0"/>
              <w:spacing w:after="40"/>
              <w:rPr>
                <w:rFonts w:ascii="Arial" w:hAnsi="Arial" w:cs="Arial"/>
                <w:sz w:val="18"/>
                <w:szCs w:val="18"/>
              </w:rPr>
            </w:pPr>
            <w:r>
              <w:rPr>
                <w:rFonts w:ascii="Arial" w:hAnsi="Arial" w:cs="Arial"/>
                <w:sz w:val="18"/>
                <w:szCs w:val="18"/>
              </w:rPr>
              <w:t>(withdrawn, incorrect, not recorded)</w:t>
            </w:r>
          </w:p>
        </w:tc>
        <w:tc>
          <w:tcPr>
            <w:tcW w:w="1196" w:type="dxa"/>
          </w:tcPr>
          <w:p w:rsidR="00000000" w:rsidRDefault="00D35856">
            <w:pPr>
              <w:keepNext w:val="0"/>
              <w:widowControl w:val="0"/>
              <w:spacing w:after="40"/>
              <w:rPr>
                <w:rFonts w:ascii="Arial" w:hAnsi="Arial" w:cs="Arial"/>
                <w:sz w:val="18"/>
                <w:szCs w:val="18"/>
              </w:rPr>
            </w:pPr>
            <w:r>
              <w:rPr>
                <w:rFonts w:ascii="Arial" w:hAnsi="Arial" w:cs="Arial"/>
                <w:sz w:val="18"/>
                <w:szCs w:val="18"/>
              </w:rPr>
              <w:t>2005-2006</w:t>
            </w:r>
          </w:p>
        </w:tc>
        <w:tc>
          <w:tcPr>
            <w:tcW w:w="802"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9</w:t>
            </w:r>
          </w:p>
        </w:tc>
        <w:tc>
          <w:tcPr>
            <w:tcW w:w="791"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4</w:t>
            </w:r>
          </w:p>
        </w:tc>
        <w:tc>
          <w:tcPr>
            <w:tcW w:w="721"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w:t>
            </w:r>
          </w:p>
        </w:tc>
        <w:tc>
          <w:tcPr>
            <w:tcW w:w="743"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9</w:t>
            </w:r>
          </w:p>
        </w:tc>
        <w:tc>
          <w:tcPr>
            <w:tcW w:w="706"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35</w:t>
            </w:r>
          </w:p>
        </w:tc>
        <w:tc>
          <w:tcPr>
            <w:tcW w:w="747"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85</w:t>
            </w:r>
          </w:p>
        </w:tc>
        <w:tc>
          <w:tcPr>
            <w:tcW w:w="643"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0</w:t>
            </w:r>
          </w:p>
        </w:tc>
        <w:tc>
          <w:tcPr>
            <w:tcW w:w="694"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143</w:t>
            </w:r>
          </w:p>
        </w:tc>
      </w:tr>
      <w:tr w:rsidR="00000000">
        <w:tc>
          <w:tcPr>
            <w:tcW w:w="1384" w:type="dxa"/>
            <w:vMerge/>
          </w:tcPr>
          <w:p w:rsidR="00000000" w:rsidRDefault="00D35856">
            <w:pPr>
              <w:keepNext w:val="0"/>
              <w:widowControl w:val="0"/>
              <w:spacing w:after="40"/>
              <w:rPr>
                <w:rFonts w:ascii="Arial" w:hAnsi="Arial" w:cs="Arial"/>
                <w:b/>
                <w:sz w:val="18"/>
                <w:szCs w:val="18"/>
              </w:rPr>
            </w:pPr>
          </w:p>
        </w:tc>
        <w:tc>
          <w:tcPr>
            <w:tcW w:w="1196" w:type="dxa"/>
          </w:tcPr>
          <w:p w:rsidR="00000000" w:rsidRDefault="00D35856">
            <w:pPr>
              <w:keepNext w:val="0"/>
              <w:widowControl w:val="0"/>
              <w:spacing w:after="40"/>
              <w:rPr>
                <w:rFonts w:ascii="Arial" w:hAnsi="Arial" w:cs="Arial"/>
                <w:sz w:val="18"/>
                <w:szCs w:val="18"/>
              </w:rPr>
            </w:pPr>
            <w:r>
              <w:rPr>
                <w:rFonts w:ascii="Arial" w:hAnsi="Arial" w:cs="Arial"/>
                <w:sz w:val="18"/>
                <w:szCs w:val="18"/>
              </w:rPr>
              <w:t>2006-2007</w:t>
            </w:r>
          </w:p>
        </w:tc>
        <w:tc>
          <w:tcPr>
            <w:tcW w:w="802"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19</w:t>
            </w:r>
          </w:p>
        </w:tc>
        <w:tc>
          <w:tcPr>
            <w:tcW w:w="791"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26</w:t>
            </w:r>
          </w:p>
        </w:tc>
        <w:tc>
          <w:tcPr>
            <w:tcW w:w="721"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2</w:t>
            </w:r>
          </w:p>
        </w:tc>
        <w:tc>
          <w:tcPr>
            <w:tcW w:w="743"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18</w:t>
            </w:r>
          </w:p>
        </w:tc>
        <w:tc>
          <w:tcPr>
            <w:tcW w:w="706"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10</w:t>
            </w:r>
          </w:p>
        </w:tc>
        <w:tc>
          <w:tcPr>
            <w:tcW w:w="747"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24</w:t>
            </w:r>
          </w:p>
        </w:tc>
        <w:tc>
          <w:tcPr>
            <w:tcW w:w="643"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2</w:t>
            </w:r>
          </w:p>
        </w:tc>
        <w:tc>
          <w:tcPr>
            <w:tcW w:w="694"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101</w:t>
            </w:r>
          </w:p>
        </w:tc>
      </w:tr>
      <w:tr w:rsidR="00000000">
        <w:tc>
          <w:tcPr>
            <w:tcW w:w="1384" w:type="dxa"/>
            <w:vMerge/>
          </w:tcPr>
          <w:p w:rsidR="00000000" w:rsidRDefault="00D35856">
            <w:pPr>
              <w:keepNext w:val="0"/>
              <w:widowControl w:val="0"/>
              <w:spacing w:after="40"/>
              <w:rPr>
                <w:rFonts w:ascii="Arial" w:hAnsi="Arial" w:cs="Arial"/>
                <w:b/>
                <w:sz w:val="18"/>
                <w:szCs w:val="18"/>
              </w:rPr>
            </w:pPr>
          </w:p>
        </w:tc>
        <w:tc>
          <w:tcPr>
            <w:tcW w:w="1196" w:type="dxa"/>
          </w:tcPr>
          <w:p w:rsidR="00000000" w:rsidRDefault="00D35856">
            <w:pPr>
              <w:keepNext w:val="0"/>
              <w:widowControl w:val="0"/>
              <w:spacing w:after="40"/>
              <w:rPr>
                <w:rFonts w:ascii="Arial" w:hAnsi="Arial" w:cs="Arial"/>
                <w:sz w:val="18"/>
                <w:szCs w:val="18"/>
              </w:rPr>
            </w:pPr>
            <w:r>
              <w:rPr>
                <w:rFonts w:ascii="Arial" w:hAnsi="Arial" w:cs="Arial"/>
                <w:sz w:val="18"/>
                <w:szCs w:val="18"/>
              </w:rPr>
              <w:t>2007-2008*</w:t>
            </w:r>
          </w:p>
        </w:tc>
        <w:tc>
          <w:tcPr>
            <w:tcW w:w="802"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w:t>
            </w:r>
          </w:p>
        </w:tc>
        <w:tc>
          <w:tcPr>
            <w:tcW w:w="791"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0</w:t>
            </w:r>
          </w:p>
        </w:tc>
        <w:tc>
          <w:tcPr>
            <w:tcW w:w="721"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0</w:t>
            </w:r>
          </w:p>
        </w:tc>
        <w:tc>
          <w:tcPr>
            <w:tcW w:w="743"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0</w:t>
            </w:r>
          </w:p>
        </w:tc>
        <w:tc>
          <w:tcPr>
            <w:tcW w:w="706"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w:t>
            </w:r>
          </w:p>
        </w:tc>
        <w:tc>
          <w:tcPr>
            <w:tcW w:w="747"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4</w:t>
            </w:r>
          </w:p>
        </w:tc>
        <w:tc>
          <w:tcPr>
            <w:tcW w:w="643"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0</w:t>
            </w:r>
          </w:p>
        </w:tc>
        <w:tc>
          <w:tcPr>
            <w:tcW w:w="694"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6</w:t>
            </w:r>
          </w:p>
        </w:tc>
      </w:tr>
      <w:tr w:rsidR="00000000">
        <w:tc>
          <w:tcPr>
            <w:tcW w:w="1384" w:type="dxa"/>
            <w:vMerge/>
          </w:tcPr>
          <w:p w:rsidR="00000000" w:rsidRDefault="00D35856">
            <w:pPr>
              <w:keepNext w:val="0"/>
              <w:widowControl w:val="0"/>
              <w:spacing w:after="40"/>
              <w:rPr>
                <w:rFonts w:ascii="Arial" w:hAnsi="Arial" w:cs="Arial"/>
                <w:b/>
                <w:sz w:val="18"/>
                <w:szCs w:val="18"/>
              </w:rPr>
            </w:pPr>
          </w:p>
        </w:tc>
        <w:tc>
          <w:tcPr>
            <w:tcW w:w="1196" w:type="dxa"/>
          </w:tcPr>
          <w:p w:rsidR="00000000" w:rsidRDefault="00D35856">
            <w:pPr>
              <w:keepNext w:val="0"/>
              <w:widowControl w:val="0"/>
              <w:spacing w:after="40"/>
              <w:rPr>
                <w:rFonts w:ascii="Arial" w:hAnsi="Arial" w:cs="Arial"/>
                <w:b/>
                <w:sz w:val="18"/>
                <w:szCs w:val="18"/>
              </w:rPr>
            </w:pPr>
            <w:r>
              <w:rPr>
                <w:rFonts w:ascii="Arial" w:hAnsi="Arial" w:cs="Arial"/>
                <w:b/>
                <w:sz w:val="18"/>
                <w:szCs w:val="18"/>
              </w:rPr>
              <w:t>SUBTOTAL</w:t>
            </w:r>
          </w:p>
        </w:tc>
        <w:tc>
          <w:tcPr>
            <w:tcW w:w="802" w:type="dxa"/>
            <w:vAlign w:val="bottom"/>
          </w:tcPr>
          <w:p w:rsidR="00000000" w:rsidRDefault="00D35856">
            <w:pPr>
              <w:keepNext w:val="0"/>
              <w:widowControl w:val="0"/>
              <w:spacing w:after="40"/>
              <w:jc w:val="right"/>
              <w:rPr>
                <w:rFonts w:ascii="Arial" w:hAnsi="Arial" w:cs="Arial"/>
                <w:b/>
                <w:bCs/>
                <w:sz w:val="18"/>
                <w:szCs w:val="18"/>
              </w:rPr>
            </w:pPr>
            <w:r>
              <w:rPr>
                <w:rFonts w:ascii="Arial" w:hAnsi="Arial" w:cs="Arial"/>
                <w:b/>
                <w:bCs/>
                <w:sz w:val="18"/>
                <w:szCs w:val="18"/>
              </w:rPr>
              <w:t>29</w:t>
            </w:r>
          </w:p>
        </w:tc>
        <w:tc>
          <w:tcPr>
            <w:tcW w:w="791" w:type="dxa"/>
            <w:vAlign w:val="bottom"/>
          </w:tcPr>
          <w:p w:rsidR="00000000" w:rsidRDefault="00D35856">
            <w:pPr>
              <w:keepNext w:val="0"/>
              <w:widowControl w:val="0"/>
              <w:spacing w:after="40"/>
              <w:jc w:val="right"/>
              <w:rPr>
                <w:rFonts w:ascii="Arial" w:hAnsi="Arial" w:cs="Arial"/>
                <w:b/>
                <w:bCs/>
                <w:sz w:val="18"/>
                <w:szCs w:val="18"/>
              </w:rPr>
            </w:pPr>
            <w:r>
              <w:rPr>
                <w:rFonts w:ascii="Arial" w:hAnsi="Arial" w:cs="Arial"/>
                <w:b/>
                <w:bCs/>
                <w:sz w:val="18"/>
                <w:szCs w:val="18"/>
              </w:rPr>
              <w:t>30</w:t>
            </w:r>
          </w:p>
        </w:tc>
        <w:tc>
          <w:tcPr>
            <w:tcW w:w="721" w:type="dxa"/>
            <w:vAlign w:val="bottom"/>
          </w:tcPr>
          <w:p w:rsidR="00000000" w:rsidRDefault="00D35856">
            <w:pPr>
              <w:keepNext w:val="0"/>
              <w:widowControl w:val="0"/>
              <w:spacing w:after="40"/>
              <w:jc w:val="right"/>
              <w:rPr>
                <w:rFonts w:ascii="Arial" w:hAnsi="Arial" w:cs="Arial"/>
                <w:b/>
                <w:bCs/>
                <w:sz w:val="18"/>
                <w:szCs w:val="18"/>
              </w:rPr>
            </w:pPr>
            <w:r>
              <w:rPr>
                <w:rFonts w:ascii="Arial" w:hAnsi="Arial" w:cs="Arial"/>
                <w:b/>
                <w:bCs/>
                <w:sz w:val="18"/>
                <w:szCs w:val="18"/>
              </w:rPr>
              <w:t>3</w:t>
            </w:r>
          </w:p>
        </w:tc>
        <w:tc>
          <w:tcPr>
            <w:tcW w:w="743" w:type="dxa"/>
            <w:vAlign w:val="bottom"/>
          </w:tcPr>
          <w:p w:rsidR="00000000" w:rsidRDefault="00D35856">
            <w:pPr>
              <w:keepNext w:val="0"/>
              <w:widowControl w:val="0"/>
              <w:spacing w:after="40"/>
              <w:jc w:val="right"/>
              <w:rPr>
                <w:rFonts w:ascii="Arial" w:hAnsi="Arial" w:cs="Arial"/>
                <w:b/>
                <w:bCs/>
                <w:sz w:val="18"/>
                <w:szCs w:val="18"/>
              </w:rPr>
            </w:pPr>
            <w:r>
              <w:rPr>
                <w:rFonts w:ascii="Arial" w:hAnsi="Arial" w:cs="Arial"/>
                <w:b/>
                <w:bCs/>
                <w:sz w:val="18"/>
                <w:szCs w:val="18"/>
              </w:rPr>
              <w:t>27</w:t>
            </w:r>
          </w:p>
        </w:tc>
        <w:tc>
          <w:tcPr>
            <w:tcW w:w="706" w:type="dxa"/>
            <w:vAlign w:val="bottom"/>
          </w:tcPr>
          <w:p w:rsidR="00000000" w:rsidRDefault="00D35856">
            <w:pPr>
              <w:keepNext w:val="0"/>
              <w:widowControl w:val="0"/>
              <w:spacing w:after="40"/>
              <w:jc w:val="right"/>
              <w:rPr>
                <w:rFonts w:ascii="Arial" w:hAnsi="Arial" w:cs="Arial"/>
                <w:b/>
                <w:bCs/>
                <w:sz w:val="18"/>
                <w:szCs w:val="18"/>
              </w:rPr>
            </w:pPr>
            <w:r>
              <w:rPr>
                <w:rFonts w:ascii="Arial" w:hAnsi="Arial" w:cs="Arial"/>
                <w:b/>
                <w:bCs/>
                <w:sz w:val="18"/>
                <w:szCs w:val="18"/>
              </w:rPr>
              <w:t>46</w:t>
            </w:r>
          </w:p>
        </w:tc>
        <w:tc>
          <w:tcPr>
            <w:tcW w:w="747" w:type="dxa"/>
            <w:vAlign w:val="bottom"/>
          </w:tcPr>
          <w:p w:rsidR="00000000" w:rsidRDefault="00D35856">
            <w:pPr>
              <w:keepNext w:val="0"/>
              <w:widowControl w:val="0"/>
              <w:spacing w:after="40"/>
              <w:jc w:val="right"/>
              <w:rPr>
                <w:rFonts w:ascii="Arial" w:hAnsi="Arial" w:cs="Arial"/>
                <w:b/>
                <w:bCs/>
                <w:sz w:val="18"/>
                <w:szCs w:val="18"/>
              </w:rPr>
            </w:pPr>
            <w:r>
              <w:rPr>
                <w:rFonts w:ascii="Arial" w:hAnsi="Arial" w:cs="Arial"/>
                <w:b/>
                <w:bCs/>
                <w:sz w:val="18"/>
                <w:szCs w:val="18"/>
              </w:rPr>
              <w:t>113</w:t>
            </w:r>
          </w:p>
        </w:tc>
        <w:tc>
          <w:tcPr>
            <w:tcW w:w="643" w:type="dxa"/>
            <w:vAlign w:val="bottom"/>
          </w:tcPr>
          <w:p w:rsidR="00000000" w:rsidRDefault="00D35856">
            <w:pPr>
              <w:keepNext w:val="0"/>
              <w:widowControl w:val="0"/>
              <w:spacing w:after="40"/>
              <w:jc w:val="right"/>
              <w:rPr>
                <w:rFonts w:ascii="Arial" w:hAnsi="Arial" w:cs="Arial"/>
                <w:b/>
                <w:bCs/>
                <w:sz w:val="18"/>
                <w:szCs w:val="18"/>
              </w:rPr>
            </w:pPr>
            <w:r>
              <w:rPr>
                <w:rFonts w:ascii="Arial" w:hAnsi="Arial" w:cs="Arial"/>
                <w:b/>
                <w:bCs/>
                <w:sz w:val="18"/>
                <w:szCs w:val="18"/>
              </w:rPr>
              <w:t>2</w:t>
            </w:r>
          </w:p>
        </w:tc>
        <w:tc>
          <w:tcPr>
            <w:tcW w:w="694" w:type="dxa"/>
            <w:vAlign w:val="bottom"/>
          </w:tcPr>
          <w:p w:rsidR="00000000" w:rsidRDefault="00D35856">
            <w:pPr>
              <w:keepNext w:val="0"/>
              <w:widowControl w:val="0"/>
              <w:spacing w:after="40"/>
              <w:jc w:val="right"/>
              <w:rPr>
                <w:rFonts w:ascii="Arial" w:hAnsi="Arial" w:cs="Arial"/>
                <w:b/>
                <w:bCs/>
                <w:sz w:val="18"/>
                <w:szCs w:val="18"/>
              </w:rPr>
            </w:pPr>
            <w:r>
              <w:rPr>
                <w:rFonts w:ascii="Arial" w:hAnsi="Arial" w:cs="Arial"/>
                <w:b/>
                <w:bCs/>
                <w:sz w:val="18"/>
                <w:szCs w:val="18"/>
              </w:rPr>
              <w:t>250</w:t>
            </w:r>
          </w:p>
        </w:tc>
      </w:tr>
      <w:tr w:rsidR="00000000">
        <w:tc>
          <w:tcPr>
            <w:tcW w:w="1384" w:type="dxa"/>
            <w:tcBorders>
              <w:right w:val="nil"/>
            </w:tcBorders>
            <w:shd w:val="clear" w:color="auto" w:fill="A6A6A6"/>
          </w:tcPr>
          <w:p w:rsidR="00000000" w:rsidRDefault="00D35856">
            <w:pPr>
              <w:keepNext w:val="0"/>
              <w:widowControl w:val="0"/>
              <w:spacing w:after="40"/>
              <w:rPr>
                <w:rFonts w:ascii="Arial" w:hAnsi="Arial" w:cs="Arial"/>
                <w:b/>
                <w:sz w:val="6"/>
                <w:szCs w:val="6"/>
              </w:rPr>
            </w:pPr>
          </w:p>
        </w:tc>
        <w:tc>
          <w:tcPr>
            <w:tcW w:w="1196" w:type="dxa"/>
            <w:tcBorders>
              <w:left w:val="nil"/>
              <w:right w:val="nil"/>
            </w:tcBorders>
            <w:shd w:val="clear" w:color="auto" w:fill="A6A6A6"/>
          </w:tcPr>
          <w:p w:rsidR="00000000" w:rsidRDefault="00D35856">
            <w:pPr>
              <w:keepNext w:val="0"/>
              <w:widowControl w:val="0"/>
              <w:spacing w:after="40"/>
              <w:rPr>
                <w:rFonts w:ascii="Arial" w:hAnsi="Arial" w:cs="Arial"/>
                <w:sz w:val="18"/>
                <w:szCs w:val="18"/>
              </w:rPr>
            </w:pPr>
          </w:p>
        </w:tc>
        <w:tc>
          <w:tcPr>
            <w:tcW w:w="802" w:type="dxa"/>
            <w:tcBorders>
              <w:left w:val="nil"/>
              <w:right w:val="nil"/>
            </w:tcBorders>
            <w:shd w:val="clear" w:color="auto" w:fill="A6A6A6"/>
            <w:vAlign w:val="bottom"/>
          </w:tcPr>
          <w:p w:rsidR="00000000" w:rsidRDefault="00D35856">
            <w:pPr>
              <w:keepNext w:val="0"/>
              <w:widowControl w:val="0"/>
              <w:spacing w:after="40"/>
              <w:jc w:val="right"/>
              <w:rPr>
                <w:rFonts w:ascii="Arial" w:hAnsi="Arial" w:cs="Arial"/>
                <w:sz w:val="18"/>
                <w:szCs w:val="18"/>
              </w:rPr>
            </w:pPr>
          </w:p>
        </w:tc>
        <w:tc>
          <w:tcPr>
            <w:tcW w:w="791" w:type="dxa"/>
            <w:tcBorders>
              <w:left w:val="nil"/>
              <w:right w:val="nil"/>
            </w:tcBorders>
            <w:shd w:val="clear" w:color="auto" w:fill="A6A6A6"/>
            <w:vAlign w:val="bottom"/>
          </w:tcPr>
          <w:p w:rsidR="00000000" w:rsidRDefault="00D35856">
            <w:pPr>
              <w:keepNext w:val="0"/>
              <w:widowControl w:val="0"/>
              <w:spacing w:after="40"/>
              <w:jc w:val="right"/>
              <w:rPr>
                <w:rFonts w:ascii="Arial" w:hAnsi="Arial" w:cs="Arial"/>
                <w:sz w:val="18"/>
                <w:szCs w:val="18"/>
              </w:rPr>
            </w:pPr>
          </w:p>
        </w:tc>
        <w:tc>
          <w:tcPr>
            <w:tcW w:w="721" w:type="dxa"/>
            <w:tcBorders>
              <w:left w:val="nil"/>
              <w:right w:val="nil"/>
            </w:tcBorders>
            <w:shd w:val="clear" w:color="auto" w:fill="A6A6A6"/>
            <w:vAlign w:val="bottom"/>
          </w:tcPr>
          <w:p w:rsidR="00000000" w:rsidRDefault="00D35856">
            <w:pPr>
              <w:keepNext w:val="0"/>
              <w:widowControl w:val="0"/>
              <w:spacing w:after="40"/>
              <w:jc w:val="right"/>
              <w:rPr>
                <w:rFonts w:ascii="Arial" w:hAnsi="Arial" w:cs="Arial"/>
                <w:sz w:val="18"/>
                <w:szCs w:val="18"/>
              </w:rPr>
            </w:pPr>
          </w:p>
        </w:tc>
        <w:tc>
          <w:tcPr>
            <w:tcW w:w="743" w:type="dxa"/>
            <w:tcBorders>
              <w:left w:val="nil"/>
              <w:right w:val="nil"/>
            </w:tcBorders>
            <w:shd w:val="clear" w:color="auto" w:fill="A6A6A6"/>
            <w:vAlign w:val="bottom"/>
          </w:tcPr>
          <w:p w:rsidR="00000000" w:rsidRDefault="00D35856">
            <w:pPr>
              <w:keepNext w:val="0"/>
              <w:widowControl w:val="0"/>
              <w:spacing w:after="40"/>
              <w:jc w:val="right"/>
              <w:rPr>
                <w:rFonts w:ascii="Arial" w:hAnsi="Arial" w:cs="Arial"/>
                <w:sz w:val="18"/>
                <w:szCs w:val="18"/>
              </w:rPr>
            </w:pPr>
          </w:p>
        </w:tc>
        <w:tc>
          <w:tcPr>
            <w:tcW w:w="706" w:type="dxa"/>
            <w:tcBorders>
              <w:left w:val="nil"/>
              <w:right w:val="nil"/>
            </w:tcBorders>
            <w:shd w:val="clear" w:color="auto" w:fill="A6A6A6"/>
            <w:vAlign w:val="bottom"/>
          </w:tcPr>
          <w:p w:rsidR="00000000" w:rsidRDefault="00D35856">
            <w:pPr>
              <w:keepNext w:val="0"/>
              <w:widowControl w:val="0"/>
              <w:spacing w:after="40"/>
              <w:jc w:val="right"/>
              <w:rPr>
                <w:rFonts w:ascii="Arial" w:hAnsi="Arial" w:cs="Arial"/>
                <w:sz w:val="18"/>
                <w:szCs w:val="18"/>
              </w:rPr>
            </w:pPr>
          </w:p>
        </w:tc>
        <w:tc>
          <w:tcPr>
            <w:tcW w:w="747" w:type="dxa"/>
            <w:tcBorders>
              <w:left w:val="nil"/>
              <w:right w:val="nil"/>
            </w:tcBorders>
            <w:shd w:val="clear" w:color="auto" w:fill="A6A6A6"/>
            <w:vAlign w:val="bottom"/>
          </w:tcPr>
          <w:p w:rsidR="00000000" w:rsidRDefault="00D35856">
            <w:pPr>
              <w:keepNext w:val="0"/>
              <w:widowControl w:val="0"/>
              <w:spacing w:after="40"/>
              <w:jc w:val="right"/>
              <w:rPr>
                <w:rFonts w:ascii="Arial" w:hAnsi="Arial" w:cs="Arial"/>
                <w:sz w:val="18"/>
                <w:szCs w:val="18"/>
              </w:rPr>
            </w:pPr>
          </w:p>
        </w:tc>
        <w:tc>
          <w:tcPr>
            <w:tcW w:w="643" w:type="dxa"/>
            <w:tcBorders>
              <w:left w:val="nil"/>
              <w:right w:val="nil"/>
            </w:tcBorders>
            <w:shd w:val="clear" w:color="auto" w:fill="A6A6A6"/>
            <w:vAlign w:val="bottom"/>
          </w:tcPr>
          <w:p w:rsidR="00000000" w:rsidRDefault="00D35856">
            <w:pPr>
              <w:keepNext w:val="0"/>
              <w:widowControl w:val="0"/>
              <w:spacing w:after="40"/>
              <w:jc w:val="right"/>
              <w:rPr>
                <w:rFonts w:ascii="Arial" w:hAnsi="Arial" w:cs="Arial"/>
                <w:sz w:val="18"/>
                <w:szCs w:val="18"/>
              </w:rPr>
            </w:pPr>
          </w:p>
        </w:tc>
        <w:tc>
          <w:tcPr>
            <w:tcW w:w="694" w:type="dxa"/>
            <w:tcBorders>
              <w:left w:val="nil"/>
            </w:tcBorders>
            <w:shd w:val="clear" w:color="auto" w:fill="A6A6A6"/>
            <w:vAlign w:val="bottom"/>
          </w:tcPr>
          <w:p w:rsidR="00000000" w:rsidRDefault="00D35856">
            <w:pPr>
              <w:keepNext w:val="0"/>
              <w:widowControl w:val="0"/>
              <w:spacing w:after="40"/>
              <w:jc w:val="right"/>
              <w:rPr>
                <w:rFonts w:ascii="Arial" w:hAnsi="Arial" w:cs="Arial"/>
                <w:sz w:val="18"/>
                <w:szCs w:val="18"/>
              </w:rPr>
            </w:pPr>
          </w:p>
        </w:tc>
      </w:tr>
      <w:tr w:rsidR="00000000">
        <w:tc>
          <w:tcPr>
            <w:tcW w:w="1384" w:type="dxa"/>
            <w:tcBorders>
              <w:bottom w:val="nil"/>
            </w:tcBorders>
          </w:tcPr>
          <w:p w:rsidR="00000000" w:rsidRDefault="00D35856">
            <w:pPr>
              <w:keepNext w:val="0"/>
              <w:widowControl w:val="0"/>
              <w:spacing w:after="40"/>
              <w:rPr>
                <w:rFonts w:ascii="Arial" w:hAnsi="Arial" w:cs="Arial"/>
                <w:b/>
                <w:sz w:val="18"/>
                <w:szCs w:val="18"/>
              </w:rPr>
            </w:pPr>
            <w:r>
              <w:rPr>
                <w:rFonts w:ascii="Arial" w:hAnsi="Arial" w:cs="Arial"/>
                <w:b/>
                <w:sz w:val="18"/>
                <w:szCs w:val="18"/>
              </w:rPr>
              <w:t>TOTAL</w:t>
            </w:r>
          </w:p>
        </w:tc>
        <w:tc>
          <w:tcPr>
            <w:tcW w:w="1196" w:type="dxa"/>
          </w:tcPr>
          <w:p w:rsidR="00000000" w:rsidRDefault="00D35856">
            <w:pPr>
              <w:keepNext w:val="0"/>
              <w:widowControl w:val="0"/>
              <w:spacing w:after="40"/>
              <w:rPr>
                <w:rFonts w:ascii="Arial" w:hAnsi="Arial" w:cs="Arial"/>
                <w:sz w:val="18"/>
                <w:szCs w:val="18"/>
              </w:rPr>
            </w:pPr>
            <w:r>
              <w:rPr>
                <w:rFonts w:ascii="Arial" w:hAnsi="Arial" w:cs="Arial"/>
                <w:sz w:val="18"/>
                <w:szCs w:val="18"/>
              </w:rPr>
              <w:t>2005-2006</w:t>
            </w:r>
          </w:p>
        </w:tc>
        <w:tc>
          <w:tcPr>
            <w:tcW w:w="802"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102</w:t>
            </w:r>
          </w:p>
        </w:tc>
        <w:tc>
          <w:tcPr>
            <w:tcW w:w="791"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107</w:t>
            </w:r>
          </w:p>
        </w:tc>
        <w:tc>
          <w:tcPr>
            <w:tcW w:w="721"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3</w:t>
            </w:r>
          </w:p>
        </w:tc>
        <w:tc>
          <w:tcPr>
            <w:tcW w:w="743"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141</w:t>
            </w:r>
          </w:p>
        </w:tc>
        <w:tc>
          <w:tcPr>
            <w:tcW w:w="706"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310</w:t>
            </w:r>
          </w:p>
        </w:tc>
        <w:tc>
          <w:tcPr>
            <w:tcW w:w="747"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499</w:t>
            </w:r>
          </w:p>
        </w:tc>
        <w:tc>
          <w:tcPr>
            <w:tcW w:w="643"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16</w:t>
            </w:r>
          </w:p>
        </w:tc>
        <w:tc>
          <w:tcPr>
            <w:tcW w:w="694"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1178</w:t>
            </w:r>
          </w:p>
        </w:tc>
      </w:tr>
      <w:tr w:rsidR="00000000">
        <w:tc>
          <w:tcPr>
            <w:tcW w:w="1384" w:type="dxa"/>
            <w:tcBorders>
              <w:top w:val="nil"/>
              <w:bottom w:val="nil"/>
            </w:tcBorders>
          </w:tcPr>
          <w:p w:rsidR="00000000" w:rsidRDefault="00D35856">
            <w:pPr>
              <w:keepNext w:val="0"/>
              <w:widowControl w:val="0"/>
              <w:spacing w:after="40"/>
              <w:rPr>
                <w:rFonts w:ascii="Arial" w:hAnsi="Arial" w:cs="Arial"/>
                <w:b/>
                <w:sz w:val="18"/>
                <w:szCs w:val="18"/>
              </w:rPr>
            </w:pPr>
          </w:p>
        </w:tc>
        <w:tc>
          <w:tcPr>
            <w:tcW w:w="1196" w:type="dxa"/>
          </w:tcPr>
          <w:p w:rsidR="00000000" w:rsidRDefault="00D35856">
            <w:pPr>
              <w:keepNext w:val="0"/>
              <w:widowControl w:val="0"/>
              <w:spacing w:after="40"/>
              <w:rPr>
                <w:rFonts w:ascii="Arial" w:hAnsi="Arial" w:cs="Arial"/>
                <w:sz w:val="18"/>
                <w:szCs w:val="18"/>
              </w:rPr>
            </w:pPr>
            <w:r>
              <w:rPr>
                <w:rFonts w:ascii="Arial" w:hAnsi="Arial" w:cs="Arial"/>
                <w:sz w:val="18"/>
                <w:szCs w:val="18"/>
              </w:rPr>
              <w:t>2006-2007</w:t>
            </w:r>
          </w:p>
        </w:tc>
        <w:tc>
          <w:tcPr>
            <w:tcW w:w="802"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142</w:t>
            </w:r>
          </w:p>
        </w:tc>
        <w:tc>
          <w:tcPr>
            <w:tcW w:w="791"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116</w:t>
            </w:r>
          </w:p>
        </w:tc>
        <w:tc>
          <w:tcPr>
            <w:tcW w:w="721"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39</w:t>
            </w:r>
          </w:p>
        </w:tc>
        <w:tc>
          <w:tcPr>
            <w:tcW w:w="743"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157</w:t>
            </w:r>
          </w:p>
        </w:tc>
        <w:tc>
          <w:tcPr>
            <w:tcW w:w="706"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262</w:t>
            </w:r>
          </w:p>
        </w:tc>
        <w:tc>
          <w:tcPr>
            <w:tcW w:w="747"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392</w:t>
            </w:r>
          </w:p>
        </w:tc>
        <w:tc>
          <w:tcPr>
            <w:tcW w:w="643"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31</w:t>
            </w:r>
          </w:p>
        </w:tc>
        <w:tc>
          <w:tcPr>
            <w:tcW w:w="694"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1139</w:t>
            </w:r>
          </w:p>
        </w:tc>
      </w:tr>
      <w:tr w:rsidR="00000000">
        <w:tc>
          <w:tcPr>
            <w:tcW w:w="1384" w:type="dxa"/>
            <w:tcBorders>
              <w:top w:val="nil"/>
              <w:bottom w:val="nil"/>
            </w:tcBorders>
          </w:tcPr>
          <w:p w:rsidR="00000000" w:rsidRDefault="00D35856">
            <w:pPr>
              <w:keepNext w:val="0"/>
              <w:widowControl w:val="0"/>
              <w:spacing w:after="40"/>
              <w:rPr>
                <w:rFonts w:ascii="Arial" w:hAnsi="Arial" w:cs="Arial"/>
                <w:b/>
                <w:sz w:val="18"/>
                <w:szCs w:val="18"/>
              </w:rPr>
            </w:pPr>
          </w:p>
        </w:tc>
        <w:tc>
          <w:tcPr>
            <w:tcW w:w="1196" w:type="dxa"/>
          </w:tcPr>
          <w:p w:rsidR="00000000" w:rsidRDefault="00D35856">
            <w:pPr>
              <w:keepNext w:val="0"/>
              <w:widowControl w:val="0"/>
              <w:spacing w:after="40"/>
              <w:rPr>
                <w:rFonts w:ascii="Arial" w:hAnsi="Arial" w:cs="Arial"/>
                <w:sz w:val="18"/>
                <w:szCs w:val="18"/>
              </w:rPr>
            </w:pPr>
            <w:r>
              <w:rPr>
                <w:rFonts w:ascii="Arial" w:hAnsi="Arial" w:cs="Arial"/>
                <w:sz w:val="18"/>
                <w:szCs w:val="18"/>
              </w:rPr>
              <w:t>2007-2008*</w:t>
            </w:r>
          </w:p>
        </w:tc>
        <w:tc>
          <w:tcPr>
            <w:tcW w:w="802"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41</w:t>
            </w:r>
          </w:p>
        </w:tc>
        <w:tc>
          <w:tcPr>
            <w:tcW w:w="791"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28</w:t>
            </w:r>
          </w:p>
        </w:tc>
        <w:tc>
          <w:tcPr>
            <w:tcW w:w="721"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20</w:t>
            </w:r>
          </w:p>
        </w:tc>
        <w:tc>
          <w:tcPr>
            <w:tcW w:w="743"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67</w:t>
            </w:r>
          </w:p>
        </w:tc>
        <w:tc>
          <w:tcPr>
            <w:tcW w:w="706"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54</w:t>
            </w:r>
          </w:p>
        </w:tc>
        <w:tc>
          <w:tcPr>
            <w:tcW w:w="747"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145</w:t>
            </w:r>
          </w:p>
        </w:tc>
        <w:tc>
          <w:tcPr>
            <w:tcW w:w="643"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11</w:t>
            </w:r>
          </w:p>
        </w:tc>
        <w:tc>
          <w:tcPr>
            <w:tcW w:w="694" w:type="dxa"/>
            <w:vAlign w:val="bottom"/>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366</w:t>
            </w:r>
          </w:p>
        </w:tc>
      </w:tr>
      <w:tr w:rsidR="00000000">
        <w:tc>
          <w:tcPr>
            <w:tcW w:w="1384" w:type="dxa"/>
            <w:tcBorders>
              <w:top w:val="nil"/>
            </w:tcBorders>
          </w:tcPr>
          <w:p w:rsidR="00000000" w:rsidRDefault="00D35856">
            <w:pPr>
              <w:keepNext w:val="0"/>
              <w:widowControl w:val="0"/>
              <w:rPr>
                <w:rFonts w:ascii="Arial" w:hAnsi="Arial" w:cs="Arial"/>
                <w:b/>
                <w:sz w:val="18"/>
                <w:szCs w:val="18"/>
              </w:rPr>
            </w:pPr>
          </w:p>
        </w:tc>
        <w:tc>
          <w:tcPr>
            <w:tcW w:w="1196" w:type="dxa"/>
          </w:tcPr>
          <w:p w:rsidR="00000000" w:rsidRDefault="00D35856">
            <w:pPr>
              <w:keepNext w:val="0"/>
              <w:widowControl w:val="0"/>
              <w:spacing w:after="40"/>
              <w:rPr>
                <w:rFonts w:ascii="Arial" w:hAnsi="Arial" w:cs="Arial"/>
                <w:b/>
                <w:sz w:val="18"/>
                <w:szCs w:val="18"/>
              </w:rPr>
            </w:pPr>
            <w:r>
              <w:rPr>
                <w:rFonts w:ascii="Arial" w:hAnsi="Arial" w:cs="Arial"/>
                <w:b/>
                <w:sz w:val="18"/>
                <w:szCs w:val="18"/>
              </w:rPr>
              <w:t>TOTAL</w:t>
            </w:r>
          </w:p>
        </w:tc>
        <w:tc>
          <w:tcPr>
            <w:tcW w:w="802" w:type="dxa"/>
            <w:vAlign w:val="bottom"/>
          </w:tcPr>
          <w:p w:rsidR="00000000" w:rsidRDefault="00D35856">
            <w:pPr>
              <w:keepNext w:val="0"/>
              <w:widowControl w:val="0"/>
              <w:spacing w:after="40"/>
              <w:jc w:val="right"/>
              <w:rPr>
                <w:rFonts w:ascii="Arial" w:hAnsi="Arial" w:cs="Arial"/>
                <w:b/>
                <w:bCs/>
                <w:sz w:val="18"/>
                <w:szCs w:val="18"/>
              </w:rPr>
            </w:pPr>
            <w:r>
              <w:rPr>
                <w:rFonts w:ascii="Arial" w:hAnsi="Arial" w:cs="Arial"/>
                <w:b/>
                <w:bCs/>
                <w:sz w:val="18"/>
                <w:szCs w:val="18"/>
              </w:rPr>
              <w:t>285</w:t>
            </w:r>
          </w:p>
        </w:tc>
        <w:tc>
          <w:tcPr>
            <w:tcW w:w="791" w:type="dxa"/>
            <w:vAlign w:val="bottom"/>
          </w:tcPr>
          <w:p w:rsidR="00000000" w:rsidRDefault="00D35856">
            <w:pPr>
              <w:keepNext w:val="0"/>
              <w:widowControl w:val="0"/>
              <w:spacing w:after="40"/>
              <w:jc w:val="right"/>
              <w:rPr>
                <w:rFonts w:ascii="Arial" w:hAnsi="Arial" w:cs="Arial"/>
                <w:b/>
                <w:bCs/>
                <w:sz w:val="18"/>
                <w:szCs w:val="18"/>
              </w:rPr>
            </w:pPr>
            <w:r>
              <w:rPr>
                <w:rFonts w:ascii="Arial" w:hAnsi="Arial" w:cs="Arial"/>
                <w:b/>
                <w:bCs/>
                <w:sz w:val="18"/>
                <w:szCs w:val="18"/>
              </w:rPr>
              <w:t>251</w:t>
            </w:r>
          </w:p>
        </w:tc>
        <w:tc>
          <w:tcPr>
            <w:tcW w:w="721" w:type="dxa"/>
            <w:vAlign w:val="bottom"/>
          </w:tcPr>
          <w:p w:rsidR="00000000" w:rsidRDefault="00D35856">
            <w:pPr>
              <w:keepNext w:val="0"/>
              <w:widowControl w:val="0"/>
              <w:spacing w:after="40"/>
              <w:jc w:val="right"/>
              <w:rPr>
                <w:rFonts w:ascii="Arial" w:hAnsi="Arial" w:cs="Arial"/>
                <w:b/>
                <w:bCs/>
                <w:sz w:val="18"/>
                <w:szCs w:val="18"/>
              </w:rPr>
            </w:pPr>
            <w:r>
              <w:rPr>
                <w:rFonts w:ascii="Arial" w:hAnsi="Arial" w:cs="Arial"/>
                <w:b/>
                <w:bCs/>
                <w:sz w:val="18"/>
                <w:szCs w:val="18"/>
              </w:rPr>
              <w:t>62</w:t>
            </w:r>
          </w:p>
        </w:tc>
        <w:tc>
          <w:tcPr>
            <w:tcW w:w="743" w:type="dxa"/>
            <w:vAlign w:val="bottom"/>
          </w:tcPr>
          <w:p w:rsidR="00000000" w:rsidRDefault="00D35856">
            <w:pPr>
              <w:keepNext w:val="0"/>
              <w:widowControl w:val="0"/>
              <w:spacing w:after="40"/>
              <w:jc w:val="right"/>
              <w:rPr>
                <w:rFonts w:ascii="Arial" w:hAnsi="Arial" w:cs="Arial"/>
                <w:b/>
                <w:bCs/>
                <w:sz w:val="18"/>
                <w:szCs w:val="18"/>
              </w:rPr>
            </w:pPr>
            <w:r>
              <w:rPr>
                <w:rFonts w:ascii="Arial" w:hAnsi="Arial" w:cs="Arial"/>
                <w:b/>
                <w:bCs/>
                <w:sz w:val="18"/>
                <w:szCs w:val="18"/>
              </w:rPr>
              <w:t>365</w:t>
            </w:r>
          </w:p>
        </w:tc>
        <w:tc>
          <w:tcPr>
            <w:tcW w:w="706" w:type="dxa"/>
            <w:vAlign w:val="bottom"/>
          </w:tcPr>
          <w:p w:rsidR="00000000" w:rsidRDefault="00D35856">
            <w:pPr>
              <w:keepNext w:val="0"/>
              <w:widowControl w:val="0"/>
              <w:spacing w:after="40"/>
              <w:jc w:val="right"/>
              <w:rPr>
                <w:rFonts w:ascii="Arial" w:hAnsi="Arial" w:cs="Arial"/>
                <w:b/>
                <w:bCs/>
                <w:sz w:val="18"/>
                <w:szCs w:val="18"/>
              </w:rPr>
            </w:pPr>
            <w:r>
              <w:rPr>
                <w:rFonts w:ascii="Arial" w:hAnsi="Arial" w:cs="Arial"/>
                <w:b/>
                <w:bCs/>
                <w:sz w:val="18"/>
                <w:szCs w:val="18"/>
              </w:rPr>
              <w:t>626</w:t>
            </w:r>
          </w:p>
        </w:tc>
        <w:tc>
          <w:tcPr>
            <w:tcW w:w="747" w:type="dxa"/>
            <w:vAlign w:val="bottom"/>
          </w:tcPr>
          <w:p w:rsidR="00000000" w:rsidRDefault="00D35856">
            <w:pPr>
              <w:keepNext w:val="0"/>
              <w:widowControl w:val="0"/>
              <w:spacing w:after="40"/>
              <w:jc w:val="right"/>
              <w:rPr>
                <w:rFonts w:ascii="Arial" w:hAnsi="Arial" w:cs="Arial"/>
                <w:b/>
                <w:bCs/>
                <w:sz w:val="18"/>
                <w:szCs w:val="18"/>
              </w:rPr>
            </w:pPr>
            <w:r>
              <w:rPr>
                <w:rFonts w:ascii="Arial" w:hAnsi="Arial" w:cs="Arial"/>
                <w:b/>
                <w:bCs/>
                <w:sz w:val="18"/>
                <w:szCs w:val="18"/>
              </w:rPr>
              <w:t>1036</w:t>
            </w:r>
          </w:p>
        </w:tc>
        <w:tc>
          <w:tcPr>
            <w:tcW w:w="643" w:type="dxa"/>
            <w:vAlign w:val="bottom"/>
          </w:tcPr>
          <w:p w:rsidR="00000000" w:rsidRDefault="00D35856">
            <w:pPr>
              <w:keepNext w:val="0"/>
              <w:widowControl w:val="0"/>
              <w:spacing w:after="40"/>
              <w:jc w:val="right"/>
              <w:rPr>
                <w:rFonts w:ascii="Arial" w:hAnsi="Arial" w:cs="Arial"/>
                <w:b/>
                <w:bCs/>
                <w:sz w:val="18"/>
                <w:szCs w:val="18"/>
              </w:rPr>
            </w:pPr>
            <w:r>
              <w:rPr>
                <w:rFonts w:ascii="Arial" w:hAnsi="Arial" w:cs="Arial"/>
                <w:b/>
                <w:bCs/>
                <w:sz w:val="18"/>
                <w:szCs w:val="18"/>
              </w:rPr>
              <w:t>58</w:t>
            </w:r>
          </w:p>
        </w:tc>
        <w:tc>
          <w:tcPr>
            <w:tcW w:w="694" w:type="dxa"/>
            <w:vAlign w:val="bottom"/>
          </w:tcPr>
          <w:p w:rsidR="00000000" w:rsidRDefault="00D35856">
            <w:pPr>
              <w:keepNext w:val="0"/>
              <w:widowControl w:val="0"/>
              <w:spacing w:after="40"/>
              <w:jc w:val="right"/>
              <w:rPr>
                <w:rFonts w:ascii="Arial" w:hAnsi="Arial" w:cs="Arial"/>
                <w:b/>
                <w:bCs/>
                <w:sz w:val="18"/>
                <w:szCs w:val="18"/>
              </w:rPr>
            </w:pPr>
            <w:r>
              <w:rPr>
                <w:rFonts w:ascii="Arial" w:hAnsi="Arial" w:cs="Arial"/>
                <w:b/>
                <w:bCs/>
                <w:sz w:val="18"/>
                <w:szCs w:val="18"/>
              </w:rPr>
              <w:t>2683</w:t>
            </w:r>
          </w:p>
        </w:tc>
      </w:tr>
    </w:tbl>
    <w:p w:rsidR="00000000" w:rsidRDefault="00D35856">
      <w:pPr>
        <w:keepNext w:val="0"/>
        <w:widowControl w:val="0"/>
        <w:spacing w:after="0"/>
        <w:rPr>
          <w:sz w:val="18"/>
          <w:szCs w:val="18"/>
        </w:rPr>
      </w:pPr>
      <w:r>
        <w:rPr>
          <w:sz w:val="18"/>
          <w:szCs w:val="18"/>
        </w:rPr>
        <w:t>* to 30 November 2007</w:t>
      </w:r>
      <w:r>
        <w:rPr>
          <w:sz w:val="18"/>
          <w:szCs w:val="18"/>
        </w:rPr>
        <w:tab/>
      </w:r>
      <w:r>
        <w:rPr>
          <w:sz w:val="18"/>
          <w:szCs w:val="18"/>
        </w:rPr>
        <w:t>Acronyms as in list of Abbreviations on page ix (for Clothes Washing Machine; Dish Washing Machine; Flow Controller; Lavatory Equipment; Showers; Tap Equipment; Urinal Equipment respectively).</w:t>
      </w:r>
    </w:p>
    <w:p w:rsidR="00000000" w:rsidRDefault="00D35856">
      <w:pPr>
        <w:keepNext w:val="0"/>
        <w:widowControl w:val="0"/>
        <w:rPr>
          <w:sz w:val="18"/>
          <w:szCs w:val="18"/>
        </w:rPr>
      </w:pPr>
      <w:r>
        <w:rPr>
          <w:sz w:val="18"/>
          <w:szCs w:val="18"/>
        </w:rPr>
        <w:t xml:space="preserve">Source: analysed from </w:t>
      </w:r>
      <w:smartTag w:uri="urn:schemas-microsoft-com:office:smarttags" w:element="City">
        <w:r>
          <w:rPr>
            <w:sz w:val="18"/>
            <w:szCs w:val="18"/>
          </w:rPr>
          <w:t>WELS</w:t>
        </w:r>
      </w:smartTag>
      <w:r>
        <w:rPr>
          <w:sz w:val="18"/>
          <w:szCs w:val="18"/>
        </w:rPr>
        <w:t xml:space="preserve"> registration tracking spread</w:t>
      </w:r>
      <w:r>
        <w:rPr>
          <w:sz w:val="18"/>
          <w:szCs w:val="18"/>
        </w:rPr>
        <w:t>sheets</w:t>
      </w:r>
    </w:p>
    <w:p w:rsidR="00000000" w:rsidRDefault="00D35856">
      <w:pPr>
        <w:keepNext w:val="0"/>
        <w:widowControl w:val="0"/>
      </w:pPr>
      <w:r>
        <w:t xml:space="preserve">Unsurprisingly, the rate of registrations increased in the months prior to July 2006, when the scheme commenced (see </w:t>
      </w:r>
      <w:fldSimple w:instr=" REF _Ref188070587 \h  \* MERGEFORMAT ">
        <w:r>
          <w:t xml:space="preserve">Figure </w:t>
        </w:r>
        <w:r>
          <w:rPr>
            <w:noProof/>
          </w:rPr>
          <w:t>4</w:t>
        </w:r>
        <w:r>
          <w:rPr>
            <w:noProof/>
          </w:rPr>
          <w:noBreakHyphen/>
          <w:t>1</w:t>
        </w:r>
      </w:fldSimple>
      <w:r>
        <w:t>). These trends i</w:t>
      </w:r>
      <w:r>
        <w:t>n registrations were used to project the number of registrations in the future, updating the RIS assumptions where appropriate:</w:t>
      </w:r>
    </w:p>
    <w:p w:rsidR="00000000" w:rsidRDefault="00D35856">
      <w:pPr>
        <w:keepNext w:val="0"/>
        <w:widowControl w:val="0"/>
        <w:numPr>
          <w:ilvl w:val="0"/>
          <w:numId w:val="6"/>
        </w:numPr>
      </w:pPr>
      <w:r>
        <w:t>For toilets, showers, urinals and tapware, registrations are assumed to continue at a rate equivalent to that of the period Ju</w:t>
      </w:r>
      <w:r>
        <w:t xml:space="preserve">ly – November 2007, as the grace period for these products ended in December 2006. This effectively assumes that during this </w:t>
      </w:r>
      <w:r>
        <w:lastRenderedPageBreak/>
        <w:t>period suppliers were registering new models only, and not unlabelled models available for sale prior to December 2006.</w:t>
      </w:r>
    </w:p>
    <w:p w:rsidR="00000000" w:rsidRDefault="00D35856">
      <w:pPr>
        <w:keepNext w:val="0"/>
        <w:widowControl w:val="0"/>
        <w:numPr>
          <w:ilvl w:val="0"/>
          <w:numId w:val="6"/>
        </w:numPr>
      </w:pPr>
      <w:r>
        <w:t>For washi</w:t>
      </w:r>
      <w:r>
        <w:t>ng machines and dishwashers, registrations are assumed to continue at the rate indicated by the 2004 RIS. As the grace period for these products applied until December 2007, recorded registrations to November 2007 are an indication of the initial test load</w:t>
      </w:r>
      <w:r>
        <w:t>, not of ongoing trends.</w:t>
      </w:r>
    </w:p>
    <w:p w:rsidR="00000000" w:rsidRDefault="00D35856">
      <w:pPr>
        <w:keepNext w:val="0"/>
        <w:widowControl w:val="0"/>
      </w:pPr>
      <w:r>
        <w:t xml:space="preserve">The original RIS assumptions, selected recorded registration numbers and projections of registration numbers used in this analysis are provided in </w:t>
      </w:r>
      <w:fldSimple w:instr=" REF _Ref188070476 \h  \* MERGEFORMAT ">
        <w:r>
          <w:t xml:space="preserve">Table </w:t>
        </w:r>
        <w:r>
          <w:rPr>
            <w:noProof/>
          </w:rPr>
          <w:t>4</w:t>
        </w:r>
        <w:r>
          <w:rPr>
            <w:noProof/>
          </w:rPr>
          <w:noBreakHyphen/>
          <w:t>5</w:t>
        </w:r>
      </w:fldSimple>
      <w:r>
        <w:t>. For plumbing products and sanitaryware (LE/UE), the conservative approach to projections has been to use the higher of that indicated by trends and the RIS assumptions. Where possible, the projected registration numbers have</w:t>
      </w:r>
      <w:r>
        <w:t xml:space="preserve"> been checked with suppliers or supplier groups. The exact number of future registrations by product type is uncertain, and will depend at least in part on the incentives posed by current or future registration fee structures.</w:t>
      </w:r>
    </w:p>
    <w:p w:rsidR="00000000" w:rsidRDefault="00D35856">
      <w:pPr>
        <w:pStyle w:val="Caption"/>
        <w:keepNext w:val="0"/>
      </w:pPr>
      <w:bookmarkStart w:id="150" w:name="_Ref188070476"/>
      <w:bookmarkStart w:id="151" w:name="_Toc199933798"/>
      <w:r>
        <w:t>Tab</w:t>
      </w:r>
      <w:r>
        <w:t xml:space="preserve">le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Table \* ARABIC \s 1 </w:instrText>
      </w:r>
      <w:r>
        <w:fldChar w:fldCharType="separate"/>
      </w:r>
      <w:r>
        <w:rPr>
          <w:noProof/>
        </w:rPr>
        <w:t>5</w:t>
      </w:r>
      <w:r>
        <w:fldChar w:fldCharType="end"/>
      </w:r>
      <w:bookmarkEnd w:id="150"/>
      <w:r>
        <w:t xml:space="preserve">: Comparison of </w:t>
      </w:r>
      <w:smartTag w:uri="urn:schemas-microsoft-com:office:smarttags" w:element="City">
        <w:r>
          <w:t>WELS</w:t>
        </w:r>
      </w:smartTag>
      <w:r>
        <w:t xml:space="preserve"> registrations, projections from RIS and used in this study</w:t>
      </w:r>
      <w:bookmarkEnd w:id="151"/>
    </w:p>
    <w:tbl>
      <w:tblPr>
        <w:tblStyle w:val="TableGrid"/>
        <w:tblW w:w="8562" w:type="dxa"/>
        <w:tblLayout w:type="fixed"/>
        <w:tblLook w:val="01E0"/>
      </w:tblPr>
      <w:tblGrid>
        <w:gridCol w:w="1381"/>
        <w:gridCol w:w="1194"/>
        <w:gridCol w:w="637"/>
        <w:gridCol w:w="94"/>
        <w:gridCol w:w="720"/>
        <w:gridCol w:w="12"/>
        <w:gridCol w:w="697"/>
        <w:gridCol w:w="34"/>
        <w:gridCol w:w="675"/>
        <w:gridCol w:w="57"/>
        <w:gridCol w:w="510"/>
        <w:gridCol w:w="221"/>
        <w:gridCol w:w="488"/>
        <w:gridCol w:w="850"/>
        <w:gridCol w:w="992"/>
      </w:tblGrid>
      <w:tr w:rsidR="00000000">
        <w:trPr>
          <w:trHeight w:val="528"/>
        </w:trPr>
        <w:tc>
          <w:tcPr>
            <w:tcW w:w="1381" w:type="dxa"/>
            <w:shd w:val="clear" w:color="auto" w:fill="CCCCCC"/>
            <w:tcMar>
              <w:left w:w="57" w:type="dxa"/>
              <w:right w:w="57" w:type="dxa"/>
            </w:tcMar>
          </w:tcPr>
          <w:p w:rsidR="00000000" w:rsidRDefault="00D35856">
            <w:pPr>
              <w:keepNext w:val="0"/>
              <w:widowControl w:val="0"/>
              <w:spacing w:after="0"/>
              <w:rPr>
                <w:rFonts w:ascii="Arial" w:hAnsi="Arial" w:cs="Arial"/>
                <w:b/>
                <w:bCs/>
                <w:sz w:val="20"/>
                <w:szCs w:val="20"/>
              </w:rPr>
            </w:pPr>
            <w:r>
              <w:rPr>
                <w:rFonts w:ascii="Arial" w:hAnsi="Arial" w:cs="Arial"/>
                <w:b/>
                <w:bCs/>
                <w:sz w:val="20"/>
                <w:szCs w:val="20"/>
              </w:rPr>
              <w:t>Source</w:t>
            </w:r>
          </w:p>
        </w:tc>
        <w:tc>
          <w:tcPr>
            <w:tcW w:w="1831" w:type="dxa"/>
            <w:gridSpan w:val="2"/>
            <w:shd w:val="clear" w:color="auto" w:fill="CCCCCC"/>
            <w:tcMar>
              <w:left w:w="57" w:type="dxa"/>
              <w:right w:w="57" w:type="dxa"/>
            </w:tcMar>
          </w:tcPr>
          <w:p w:rsidR="00000000" w:rsidRDefault="00D35856">
            <w:pPr>
              <w:keepNext w:val="0"/>
              <w:widowControl w:val="0"/>
              <w:spacing w:after="0"/>
              <w:rPr>
                <w:rFonts w:ascii="Arial" w:hAnsi="Arial" w:cs="Arial"/>
                <w:b/>
                <w:bCs/>
                <w:sz w:val="20"/>
                <w:szCs w:val="20"/>
              </w:rPr>
            </w:pPr>
            <w:r>
              <w:rPr>
                <w:rFonts w:ascii="Arial" w:hAnsi="Arial" w:cs="Arial"/>
                <w:b/>
                <w:bCs/>
                <w:sz w:val="20"/>
                <w:szCs w:val="20"/>
              </w:rPr>
              <w:t>Year</w:t>
            </w:r>
          </w:p>
        </w:tc>
        <w:tc>
          <w:tcPr>
            <w:tcW w:w="814" w:type="dxa"/>
            <w:gridSpan w:val="2"/>
            <w:shd w:val="clear" w:color="auto" w:fill="CCCCCC"/>
            <w:tcMar>
              <w:left w:w="57" w:type="dxa"/>
              <w:right w:w="57" w:type="dxa"/>
            </w:tcMar>
          </w:tcPr>
          <w:p w:rsidR="00000000" w:rsidRDefault="00D35856">
            <w:pPr>
              <w:keepNext w:val="0"/>
              <w:widowControl w:val="0"/>
              <w:spacing w:after="0"/>
              <w:jc w:val="center"/>
              <w:rPr>
                <w:rFonts w:ascii="Arial" w:hAnsi="Arial" w:cs="Arial"/>
                <w:b/>
                <w:bCs/>
                <w:sz w:val="18"/>
                <w:szCs w:val="20"/>
              </w:rPr>
            </w:pPr>
            <w:r>
              <w:rPr>
                <w:rFonts w:ascii="Arial" w:hAnsi="Arial" w:cs="Arial"/>
                <w:b/>
                <w:bCs/>
                <w:sz w:val="18"/>
                <w:szCs w:val="20"/>
              </w:rPr>
              <w:t>CWM</w:t>
            </w:r>
          </w:p>
        </w:tc>
        <w:tc>
          <w:tcPr>
            <w:tcW w:w="709" w:type="dxa"/>
            <w:gridSpan w:val="2"/>
            <w:shd w:val="clear" w:color="auto" w:fill="CCCCCC"/>
            <w:tcMar>
              <w:left w:w="57" w:type="dxa"/>
              <w:right w:w="57" w:type="dxa"/>
            </w:tcMar>
          </w:tcPr>
          <w:p w:rsidR="00000000" w:rsidRDefault="00D35856">
            <w:pPr>
              <w:keepNext w:val="0"/>
              <w:widowControl w:val="0"/>
              <w:spacing w:after="0"/>
              <w:jc w:val="center"/>
              <w:rPr>
                <w:rFonts w:ascii="Arial" w:hAnsi="Arial" w:cs="Arial"/>
                <w:b/>
                <w:bCs/>
                <w:sz w:val="18"/>
                <w:szCs w:val="20"/>
              </w:rPr>
            </w:pPr>
            <w:r>
              <w:rPr>
                <w:rFonts w:ascii="Arial" w:hAnsi="Arial" w:cs="Arial"/>
                <w:b/>
                <w:bCs/>
                <w:sz w:val="18"/>
                <w:szCs w:val="20"/>
              </w:rPr>
              <w:t>DWM</w:t>
            </w:r>
          </w:p>
        </w:tc>
        <w:tc>
          <w:tcPr>
            <w:tcW w:w="709" w:type="dxa"/>
            <w:gridSpan w:val="2"/>
            <w:shd w:val="clear" w:color="auto" w:fill="CCCCCC"/>
            <w:tcMar>
              <w:left w:w="57" w:type="dxa"/>
              <w:right w:w="57" w:type="dxa"/>
            </w:tcMar>
          </w:tcPr>
          <w:p w:rsidR="00000000" w:rsidRDefault="00D35856">
            <w:pPr>
              <w:keepNext w:val="0"/>
              <w:widowControl w:val="0"/>
              <w:spacing w:after="0"/>
              <w:jc w:val="center"/>
              <w:rPr>
                <w:rFonts w:ascii="Arial" w:hAnsi="Arial" w:cs="Arial"/>
                <w:b/>
                <w:bCs/>
                <w:sz w:val="18"/>
                <w:szCs w:val="20"/>
              </w:rPr>
            </w:pPr>
            <w:r>
              <w:rPr>
                <w:rFonts w:ascii="Arial" w:hAnsi="Arial" w:cs="Arial"/>
                <w:b/>
                <w:bCs/>
                <w:sz w:val="18"/>
                <w:szCs w:val="20"/>
              </w:rPr>
              <w:t>LE</w:t>
            </w:r>
          </w:p>
        </w:tc>
        <w:tc>
          <w:tcPr>
            <w:tcW w:w="567" w:type="dxa"/>
            <w:gridSpan w:val="2"/>
            <w:shd w:val="clear" w:color="auto" w:fill="CCCCCC"/>
            <w:tcMar>
              <w:left w:w="57" w:type="dxa"/>
              <w:right w:w="57" w:type="dxa"/>
            </w:tcMar>
          </w:tcPr>
          <w:p w:rsidR="00000000" w:rsidRDefault="00D35856">
            <w:pPr>
              <w:keepNext w:val="0"/>
              <w:widowControl w:val="0"/>
              <w:spacing w:after="0"/>
              <w:jc w:val="center"/>
              <w:rPr>
                <w:rFonts w:ascii="Arial" w:hAnsi="Arial" w:cs="Arial"/>
                <w:b/>
                <w:bCs/>
                <w:sz w:val="18"/>
                <w:szCs w:val="20"/>
              </w:rPr>
            </w:pPr>
            <w:r>
              <w:rPr>
                <w:rFonts w:ascii="Arial" w:hAnsi="Arial" w:cs="Arial"/>
                <w:b/>
                <w:bCs/>
                <w:sz w:val="18"/>
                <w:szCs w:val="20"/>
              </w:rPr>
              <w:t>S</w:t>
            </w:r>
          </w:p>
        </w:tc>
        <w:tc>
          <w:tcPr>
            <w:tcW w:w="709" w:type="dxa"/>
            <w:gridSpan w:val="2"/>
            <w:shd w:val="clear" w:color="auto" w:fill="CCCCCC"/>
            <w:tcMar>
              <w:left w:w="57" w:type="dxa"/>
              <w:right w:w="57" w:type="dxa"/>
            </w:tcMar>
          </w:tcPr>
          <w:p w:rsidR="00000000" w:rsidRDefault="00D35856">
            <w:pPr>
              <w:keepNext w:val="0"/>
              <w:widowControl w:val="0"/>
              <w:spacing w:after="0"/>
              <w:jc w:val="center"/>
              <w:rPr>
                <w:rFonts w:ascii="Arial" w:hAnsi="Arial" w:cs="Arial"/>
                <w:b/>
                <w:bCs/>
                <w:sz w:val="18"/>
                <w:szCs w:val="20"/>
              </w:rPr>
            </w:pPr>
            <w:r>
              <w:rPr>
                <w:rFonts w:ascii="Arial" w:hAnsi="Arial" w:cs="Arial"/>
                <w:b/>
                <w:bCs/>
                <w:sz w:val="18"/>
                <w:szCs w:val="20"/>
              </w:rPr>
              <w:t>TE</w:t>
            </w:r>
          </w:p>
        </w:tc>
        <w:tc>
          <w:tcPr>
            <w:tcW w:w="850" w:type="dxa"/>
            <w:shd w:val="clear" w:color="auto" w:fill="CCCCCC"/>
            <w:tcMar>
              <w:left w:w="57" w:type="dxa"/>
              <w:right w:w="57" w:type="dxa"/>
            </w:tcMar>
          </w:tcPr>
          <w:p w:rsidR="00000000" w:rsidRDefault="00D35856">
            <w:pPr>
              <w:keepNext w:val="0"/>
              <w:widowControl w:val="0"/>
              <w:spacing w:after="0"/>
              <w:jc w:val="center"/>
              <w:rPr>
                <w:rFonts w:ascii="Arial" w:hAnsi="Arial" w:cs="Arial"/>
                <w:b/>
                <w:bCs/>
                <w:sz w:val="18"/>
                <w:szCs w:val="20"/>
              </w:rPr>
            </w:pPr>
            <w:r>
              <w:rPr>
                <w:rFonts w:ascii="Arial" w:hAnsi="Arial" w:cs="Arial"/>
                <w:b/>
                <w:bCs/>
                <w:sz w:val="18"/>
                <w:szCs w:val="20"/>
              </w:rPr>
              <w:t>UE</w:t>
            </w:r>
          </w:p>
        </w:tc>
        <w:tc>
          <w:tcPr>
            <w:tcW w:w="992" w:type="dxa"/>
            <w:shd w:val="clear" w:color="auto" w:fill="CCCCCC"/>
            <w:tcMar>
              <w:left w:w="57" w:type="dxa"/>
              <w:right w:w="57" w:type="dxa"/>
            </w:tcMar>
          </w:tcPr>
          <w:p w:rsidR="00000000" w:rsidRDefault="00D35856">
            <w:pPr>
              <w:keepNext w:val="0"/>
              <w:widowControl w:val="0"/>
              <w:spacing w:after="0"/>
              <w:jc w:val="center"/>
              <w:rPr>
                <w:rFonts w:ascii="Arial" w:hAnsi="Arial" w:cs="Arial"/>
                <w:b/>
                <w:bCs/>
                <w:sz w:val="18"/>
                <w:szCs w:val="20"/>
              </w:rPr>
            </w:pPr>
            <w:r>
              <w:rPr>
                <w:rFonts w:ascii="Arial" w:hAnsi="Arial" w:cs="Arial"/>
                <w:b/>
                <w:bCs/>
                <w:sz w:val="18"/>
                <w:szCs w:val="20"/>
              </w:rPr>
              <w:t>Total</w:t>
            </w:r>
          </w:p>
        </w:tc>
      </w:tr>
      <w:tr w:rsidR="00000000">
        <w:tc>
          <w:tcPr>
            <w:tcW w:w="1381" w:type="dxa"/>
            <w:vMerge w:val="restart"/>
          </w:tcPr>
          <w:p w:rsidR="00000000" w:rsidRDefault="00D35856">
            <w:pPr>
              <w:keepNext w:val="0"/>
              <w:widowControl w:val="0"/>
              <w:spacing w:after="0"/>
              <w:rPr>
                <w:rFonts w:ascii="Arial" w:hAnsi="Arial" w:cs="Arial"/>
                <w:sz w:val="18"/>
                <w:szCs w:val="18"/>
              </w:rPr>
            </w:pPr>
            <w:r>
              <w:rPr>
                <w:rFonts w:ascii="Arial" w:hAnsi="Arial" w:cs="Arial"/>
                <w:b/>
                <w:sz w:val="18"/>
                <w:szCs w:val="18"/>
              </w:rPr>
              <w:t>RIS assumptions</w:t>
            </w:r>
          </w:p>
        </w:tc>
        <w:tc>
          <w:tcPr>
            <w:tcW w:w="1831" w:type="dxa"/>
            <w:gridSpan w:val="2"/>
          </w:tcPr>
          <w:p w:rsidR="00000000" w:rsidRDefault="00D35856">
            <w:pPr>
              <w:keepNext w:val="0"/>
              <w:widowControl w:val="0"/>
              <w:spacing w:after="0"/>
              <w:rPr>
                <w:rFonts w:ascii="Arial" w:hAnsi="Arial" w:cs="Arial"/>
                <w:sz w:val="16"/>
                <w:szCs w:val="18"/>
                <w:vertAlign w:val="superscript"/>
              </w:rPr>
            </w:pPr>
            <w:r>
              <w:rPr>
                <w:rFonts w:ascii="Arial" w:hAnsi="Arial" w:cs="Arial"/>
                <w:sz w:val="16"/>
                <w:szCs w:val="18"/>
              </w:rPr>
              <w:t>Initial test load</w:t>
            </w:r>
            <w:r>
              <w:rPr>
                <w:rFonts w:ascii="Arial" w:hAnsi="Arial" w:cs="Arial"/>
                <w:sz w:val="16"/>
                <w:szCs w:val="18"/>
                <w:vertAlign w:val="superscript"/>
              </w:rPr>
              <w:t>a</w:t>
            </w:r>
          </w:p>
        </w:tc>
        <w:tc>
          <w:tcPr>
            <w:tcW w:w="814" w:type="dxa"/>
            <w:gridSpan w:val="2"/>
          </w:tcPr>
          <w:p w:rsidR="00000000" w:rsidRDefault="00D35856">
            <w:pPr>
              <w:keepNext w:val="0"/>
              <w:widowControl w:val="0"/>
              <w:spacing w:after="0"/>
              <w:jc w:val="right"/>
              <w:rPr>
                <w:rFonts w:ascii="Arial" w:hAnsi="Arial" w:cs="Arial"/>
                <w:sz w:val="18"/>
              </w:rPr>
            </w:pPr>
            <w:r>
              <w:rPr>
                <w:rFonts w:ascii="Arial" w:hAnsi="Arial" w:cs="Arial"/>
                <w:sz w:val="18"/>
              </w:rPr>
              <w:t>300</w:t>
            </w:r>
          </w:p>
        </w:tc>
        <w:tc>
          <w:tcPr>
            <w:tcW w:w="709" w:type="dxa"/>
            <w:gridSpan w:val="2"/>
          </w:tcPr>
          <w:p w:rsidR="00000000" w:rsidRDefault="00D35856">
            <w:pPr>
              <w:keepNext w:val="0"/>
              <w:widowControl w:val="0"/>
              <w:spacing w:after="0"/>
              <w:jc w:val="right"/>
              <w:rPr>
                <w:rFonts w:ascii="Arial" w:hAnsi="Arial" w:cs="Arial"/>
                <w:sz w:val="18"/>
              </w:rPr>
            </w:pPr>
            <w:r>
              <w:rPr>
                <w:rFonts w:ascii="Arial" w:hAnsi="Arial" w:cs="Arial"/>
                <w:sz w:val="18"/>
              </w:rPr>
              <w:t>200</w:t>
            </w:r>
          </w:p>
        </w:tc>
        <w:tc>
          <w:tcPr>
            <w:tcW w:w="709" w:type="dxa"/>
            <w:gridSpan w:val="2"/>
          </w:tcPr>
          <w:p w:rsidR="00000000" w:rsidRDefault="00D35856">
            <w:pPr>
              <w:keepNext w:val="0"/>
              <w:widowControl w:val="0"/>
              <w:spacing w:after="0"/>
              <w:jc w:val="right"/>
              <w:rPr>
                <w:rFonts w:ascii="Arial" w:hAnsi="Arial" w:cs="Arial"/>
                <w:sz w:val="18"/>
              </w:rPr>
            </w:pPr>
            <w:r>
              <w:rPr>
                <w:rFonts w:ascii="Arial" w:hAnsi="Arial" w:cs="Arial"/>
                <w:sz w:val="18"/>
              </w:rPr>
              <w:t>100</w:t>
            </w:r>
          </w:p>
        </w:tc>
        <w:tc>
          <w:tcPr>
            <w:tcW w:w="567" w:type="dxa"/>
            <w:gridSpan w:val="2"/>
          </w:tcPr>
          <w:p w:rsidR="00000000" w:rsidRDefault="00D35856">
            <w:pPr>
              <w:keepNext w:val="0"/>
              <w:widowControl w:val="0"/>
              <w:spacing w:after="0"/>
              <w:jc w:val="right"/>
              <w:rPr>
                <w:rFonts w:ascii="Arial" w:hAnsi="Arial" w:cs="Arial"/>
                <w:sz w:val="18"/>
              </w:rPr>
            </w:pPr>
            <w:r>
              <w:rPr>
                <w:rFonts w:ascii="Arial" w:hAnsi="Arial" w:cs="Arial"/>
                <w:sz w:val="18"/>
              </w:rPr>
              <w:t>200</w:t>
            </w:r>
          </w:p>
        </w:tc>
        <w:tc>
          <w:tcPr>
            <w:tcW w:w="709" w:type="dxa"/>
            <w:gridSpan w:val="2"/>
          </w:tcPr>
          <w:p w:rsidR="00000000" w:rsidRDefault="00D35856">
            <w:pPr>
              <w:keepNext w:val="0"/>
              <w:widowControl w:val="0"/>
              <w:spacing w:after="0"/>
              <w:jc w:val="right"/>
              <w:rPr>
                <w:rFonts w:ascii="Arial" w:hAnsi="Arial" w:cs="Arial"/>
                <w:sz w:val="18"/>
                <w:vertAlign w:val="superscript"/>
              </w:rPr>
            </w:pPr>
            <w:r>
              <w:rPr>
                <w:rFonts w:ascii="Arial" w:hAnsi="Arial" w:cs="Arial"/>
                <w:sz w:val="18"/>
              </w:rPr>
              <w:t>35</w:t>
            </w:r>
            <w:r>
              <w:rPr>
                <w:rFonts w:ascii="Arial" w:hAnsi="Arial" w:cs="Arial"/>
                <w:sz w:val="18"/>
                <w:vertAlign w:val="superscript"/>
              </w:rPr>
              <w:t>b</w:t>
            </w:r>
          </w:p>
        </w:tc>
        <w:tc>
          <w:tcPr>
            <w:tcW w:w="850" w:type="dxa"/>
          </w:tcPr>
          <w:p w:rsidR="00000000" w:rsidRDefault="00D35856">
            <w:pPr>
              <w:keepNext w:val="0"/>
              <w:widowControl w:val="0"/>
              <w:spacing w:after="0"/>
              <w:jc w:val="right"/>
              <w:rPr>
                <w:rFonts w:ascii="Arial" w:hAnsi="Arial" w:cs="Arial"/>
                <w:sz w:val="18"/>
              </w:rPr>
            </w:pPr>
            <w:r>
              <w:rPr>
                <w:rFonts w:ascii="Arial" w:hAnsi="Arial" w:cs="Arial"/>
                <w:sz w:val="18"/>
              </w:rPr>
              <w:t>23</w:t>
            </w:r>
          </w:p>
        </w:tc>
        <w:tc>
          <w:tcPr>
            <w:tcW w:w="992" w:type="dxa"/>
          </w:tcPr>
          <w:p w:rsidR="00000000" w:rsidRDefault="00D35856">
            <w:pPr>
              <w:keepNext w:val="0"/>
              <w:widowControl w:val="0"/>
              <w:spacing w:after="0"/>
              <w:jc w:val="right"/>
              <w:rPr>
                <w:rFonts w:ascii="Arial" w:hAnsi="Arial" w:cs="Arial"/>
                <w:sz w:val="18"/>
              </w:rPr>
            </w:pPr>
            <w:r>
              <w:rPr>
                <w:rFonts w:ascii="Arial" w:hAnsi="Arial" w:cs="Arial"/>
                <w:sz w:val="18"/>
              </w:rPr>
              <w:t>985</w:t>
            </w:r>
          </w:p>
        </w:tc>
      </w:tr>
      <w:tr w:rsidR="00000000">
        <w:tc>
          <w:tcPr>
            <w:tcW w:w="1381" w:type="dxa"/>
            <w:vMerge/>
          </w:tcPr>
          <w:p w:rsidR="00000000" w:rsidRDefault="00D35856">
            <w:pPr>
              <w:keepNext w:val="0"/>
              <w:widowControl w:val="0"/>
              <w:spacing w:after="0"/>
              <w:rPr>
                <w:rFonts w:ascii="Arial" w:hAnsi="Arial" w:cs="Arial"/>
                <w:sz w:val="18"/>
                <w:szCs w:val="18"/>
              </w:rPr>
            </w:pPr>
          </w:p>
        </w:tc>
        <w:tc>
          <w:tcPr>
            <w:tcW w:w="1831" w:type="dxa"/>
            <w:gridSpan w:val="2"/>
          </w:tcPr>
          <w:p w:rsidR="00000000" w:rsidRDefault="00D35856">
            <w:pPr>
              <w:keepNext w:val="0"/>
              <w:widowControl w:val="0"/>
              <w:spacing w:after="0"/>
              <w:rPr>
                <w:rFonts w:ascii="Arial" w:hAnsi="Arial" w:cs="Arial"/>
                <w:sz w:val="16"/>
                <w:szCs w:val="18"/>
              </w:rPr>
            </w:pPr>
            <w:r>
              <w:rPr>
                <w:rFonts w:ascii="Arial" w:hAnsi="Arial" w:cs="Arial"/>
                <w:sz w:val="16"/>
                <w:szCs w:val="18"/>
              </w:rPr>
              <w:t>Annual test load</w:t>
            </w:r>
          </w:p>
        </w:tc>
        <w:tc>
          <w:tcPr>
            <w:tcW w:w="814" w:type="dxa"/>
            <w:gridSpan w:val="2"/>
            <w:shd w:val="clear" w:color="auto" w:fill="FFFF00"/>
          </w:tcPr>
          <w:p w:rsidR="00000000" w:rsidRDefault="00D35856">
            <w:pPr>
              <w:keepNext w:val="0"/>
              <w:widowControl w:val="0"/>
              <w:spacing w:after="0"/>
              <w:jc w:val="right"/>
              <w:rPr>
                <w:rFonts w:ascii="Arial" w:hAnsi="Arial" w:cs="Arial"/>
                <w:sz w:val="18"/>
              </w:rPr>
            </w:pPr>
            <w:r>
              <w:rPr>
                <w:rFonts w:ascii="Arial" w:hAnsi="Arial" w:cs="Arial"/>
                <w:sz w:val="18"/>
              </w:rPr>
              <w:t>45</w:t>
            </w:r>
          </w:p>
        </w:tc>
        <w:tc>
          <w:tcPr>
            <w:tcW w:w="709" w:type="dxa"/>
            <w:gridSpan w:val="2"/>
            <w:shd w:val="clear" w:color="auto" w:fill="FFFF00"/>
          </w:tcPr>
          <w:p w:rsidR="00000000" w:rsidRDefault="00D35856">
            <w:pPr>
              <w:keepNext w:val="0"/>
              <w:widowControl w:val="0"/>
              <w:spacing w:after="0"/>
              <w:jc w:val="right"/>
              <w:rPr>
                <w:rFonts w:ascii="Arial" w:hAnsi="Arial" w:cs="Arial"/>
                <w:sz w:val="18"/>
              </w:rPr>
            </w:pPr>
            <w:r>
              <w:rPr>
                <w:rFonts w:ascii="Arial" w:hAnsi="Arial" w:cs="Arial"/>
                <w:sz w:val="18"/>
              </w:rPr>
              <w:t>30</w:t>
            </w:r>
          </w:p>
        </w:tc>
        <w:tc>
          <w:tcPr>
            <w:tcW w:w="709" w:type="dxa"/>
            <w:gridSpan w:val="2"/>
          </w:tcPr>
          <w:p w:rsidR="00000000" w:rsidRDefault="00D35856">
            <w:pPr>
              <w:keepNext w:val="0"/>
              <w:widowControl w:val="0"/>
              <w:spacing w:after="0"/>
              <w:jc w:val="right"/>
              <w:rPr>
                <w:rFonts w:ascii="Arial" w:hAnsi="Arial" w:cs="Arial"/>
                <w:sz w:val="18"/>
              </w:rPr>
            </w:pPr>
            <w:r>
              <w:rPr>
                <w:rFonts w:ascii="Arial" w:hAnsi="Arial" w:cs="Arial"/>
                <w:sz w:val="18"/>
              </w:rPr>
              <w:t>15</w:t>
            </w:r>
          </w:p>
        </w:tc>
        <w:tc>
          <w:tcPr>
            <w:tcW w:w="567" w:type="dxa"/>
            <w:gridSpan w:val="2"/>
            <w:shd w:val="clear" w:color="auto" w:fill="FFFF00"/>
          </w:tcPr>
          <w:p w:rsidR="00000000" w:rsidRDefault="00D35856">
            <w:pPr>
              <w:keepNext w:val="0"/>
              <w:widowControl w:val="0"/>
              <w:spacing w:after="0"/>
              <w:jc w:val="right"/>
              <w:rPr>
                <w:rFonts w:ascii="Arial" w:hAnsi="Arial" w:cs="Arial"/>
                <w:sz w:val="18"/>
              </w:rPr>
            </w:pPr>
            <w:r>
              <w:rPr>
                <w:rFonts w:ascii="Arial" w:hAnsi="Arial" w:cs="Arial"/>
                <w:sz w:val="18"/>
              </w:rPr>
              <w:t>30</w:t>
            </w:r>
          </w:p>
        </w:tc>
        <w:tc>
          <w:tcPr>
            <w:tcW w:w="709" w:type="dxa"/>
            <w:gridSpan w:val="2"/>
          </w:tcPr>
          <w:p w:rsidR="00000000" w:rsidRDefault="00D35856">
            <w:pPr>
              <w:keepNext w:val="0"/>
              <w:widowControl w:val="0"/>
              <w:spacing w:after="0"/>
              <w:jc w:val="right"/>
              <w:rPr>
                <w:rFonts w:ascii="Arial" w:hAnsi="Arial" w:cs="Arial"/>
                <w:sz w:val="18"/>
              </w:rPr>
            </w:pPr>
            <w:r>
              <w:rPr>
                <w:rFonts w:ascii="Arial" w:hAnsi="Arial" w:cs="Arial"/>
                <w:sz w:val="18"/>
              </w:rPr>
              <w:t>12</w:t>
            </w:r>
          </w:p>
        </w:tc>
        <w:tc>
          <w:tcPr>
            <w:tcW w:w="850" w:type="dxa"/>
            <w:shd w:val="clear" w:color="auto" w:fill="FFFF00"/>
          </w:tcPr>
          <w:p w:rsidR="00000000" w:rsidRDefault="00D35856">
            <w:pPr>
              <w:keepNext w:val="0"/>
              <w:widowControl w:val="0"/>
              <w:spacing w:after="0"/>
              <w:jc w:val="right"/>
              <w:rPr>
                <w:rFonts w:ascii="Arial" w:hAnsi="Arial" w:cs="Arial"/>
                <w:sz w:val="18"/>
              </w:rPr>
            </w:pPr>
            <w:r>
              <w:rPr>
                <w:rFonts w:ascii="Arial" w:hAnsi="Arial" w:cs="Arial"/>
                <w:sz w:val="18"/>
              </w:rPr>
              <w:t>23</w:t>
            </w:r>
          </w:p>
        </w:tc>
        <w:tc>
          <w:tcPr>
            <w:tcW w:w="992" w:type="dxa"/>
          </w:tcPr>
          <w:p w:rsidR="00000000" w:rsidRDefault="00D35856">
            <w:pPr>
              <w:keepNext w:val="0"/>
              <w:widowControl w:val="0"/>
              <w:spacing w:after="0"/>
              <w:jc w:val="right"/>
              <w:rPr>
                <w:rFonts w:ascii="Arial" w:hAnsi="Arial" w:cs="Arial"/>
                <w:sz w:val="18"/>
              </w:rPr>
            </w:pPr>
            <w:r>
              <w:rPr>
                <w:rFonts w:ascii="Arial" w:hAnsi="Arial" w:cs="Arial"/>
                <w:sz w:val="18"/>
              </w:rPr>
              <w:t>155</w:t>
            </w:r>
          </w:p>
        </w:tc>
      </w:tr>
      <w:tr w:rsidR="00000000">
        <w:tc>
          <w:tcPr>
            <w:tcW w:w="1381" w:type="dxa"/>
            <w:tcBorders>
              <w:right w:val="nil"/>
            </w:tcBorders>
            <w:shd w:val="clear" w:color="auto" w:fill="A6A6A6"/>
          </w:tcPr>
          <w:p w:rsidR="00000000" w:rsidRDefault="00D35856">
            <w:pPr>
              <w:keepNext w:val="0"/>
              <w:widowControl w:val="0"/>
              <w:spacing w:after="0"/>
              <w:rPr>
                <w:rFonts w:ascii="Arial" w:hAnsi="Arial" w:cs="Arial"/>
                <w:b/>
                <w:sz w:val="6"/>
                <w:szCs w:val="6"/>
              </w:rPr>
            </w:pPr>
          </w:p>
        </w:tc>
        <w:tc>
          <w:tcPr>
            <w:tcW w:w="1194" w:type="dxa"/>
            <w:tcBorders>
              <w:left w:val="nil"/>
              <w:right w:val="nil"/>
            </w:tcBorders>
            <w:shd w:val="clear" w:color="auto" w:fill="A6A6A6"/>
          </w:tcPr>
          <w:p w:rsidR="00000000" w:rsidRDefault="00D35856">
            <w:pPr>
              <w:keepNext w:val="0"/>
              <w:widowControl w:val="0"/>
              <w:spacing w:after="0"/>
              <w:rPr>
                <w:rFonts w:ascii="Arial" w:hAnsi="Arial" w:cs="Arial"/>
                <w:sz w:val="6"/>
                <w:szCs w:val="6"/>
              </w:rPr>
            </w:pPr>
          </w:p>
        </w:tc>
        <w:tc>
          <w:tcPr>
            <w:tcW w:w="731" w:type="dxa"/>
            <w:gridSpan w:val="2"/>
            <w:tcBorders>
              <w:left w:val="nil"/>
              <w:right w:val="nil"/>
            </w:tcBorders>
            <w:shd w:val="clear" w:color="auto" w:fill="A6A6A6"/>
          </w:tcPr>
          <w:p w:rsidR="00000000" w:rsidRDefault="00D35856">
            <w:pPr>
              <w:keepNext w:val="0"/>
              <w:widowControl w:val="0"/>
              <w:spacing w:after="0"/>
              <w:jc w:val="right"/>
              <w:rPr>
                <w:rFonts w:ascii="Arial" w:hAnsi="Arial" w:cs="Arial"/>
                <w:sz w:val="6"/>
                <w:szCs w:val="6"/>
              </w:rPr>
            </w:pPr>
          </w:p>
        </w:tc>
        <w:tc>
          <w:tcPr>
            <w:tcW w:w="732" w:type="dxa"/>
            <w:gridSpan w:val="2"/>
            <w:tcBorders>
              <w:left w:val="nil"/>
              <w:right w:val="nil"/>
            </w:tcBorders>
            <w:shd w:val="clear" w:color="auto" w:fill="A6A6A6"/>
          </w:tcPr>
          <w:p w:rsidR="00000000" w:rsidRDefault="00D35856">
            <w:pPr>
              <w:keepNext w:val="0"/>
              <w:widowControl w:val="0"/>
              <w:spacing w:after="0"/>
              <w:jc w:val="right"/>
              <w:rPr>
                <w:rFonts w:ascii="Arial" w:hAnsi="Arial" w:cs="Arial"/>
                <w:sz w:val="6"/>
                <w:szCs w:val="6"/>
              </w:rPr>
            </w:pPr>
          </w:p>
        </w:tc>
        <w:tc>
          <w:tcPr>
            <w:tcW w:w="731" w:type="dxa"/>
            <w:gridSpan w:val="2"/>
            <w:tcBorders>
              <w:left w:val="nil"/>
              <w:right w:val="nil"/>
            </w:tcBorders>
            <w:shd w:val="clear" w:color="auto" w:fill="A6A6A6"/>
          </w:tcPr>
          <w:p w:rsidR="00000000" w:rsidRDefault="00D35856">
            <w:pPr>
              <w:keepNext w:val="0"/>
              <w:widowControl w:val="0"/>
              <w:spacing w:after="0"/>
              <w:jc w:val="right"/>
              <w:rPr>
                <w:rFonts w:ascii="Arial" w:hAnsi="Arial" w:cs="Arial"/>
                <w:sz w:val="6"/>
                <w:szCs w:val="6"/>
              </w:rPr>
            </w:pPr>
          </w:p>
        </w:tc>
        <w:tc>
          <w:tcPr>
            <w:tcW w:w="732" w:type="dxa"/>
            <w:gridSpan w:val="2"/>
            <w:tcBorders>
              <w:left w:val="nil"/>
              <w:right w:val="nil"/>
            </w:tcBorders>
            <w:shd w:val="clear" w:color="auto" w:fill="A6A6A6"/>
          </w:tcPr>
          <w:p w:rsidR="00000000" w:rsidRDefault="00D35856">
            <w:pPr>
              <w:keepNext w:val="0"/>
              <w:widowControl w:val="0"/>
              <w:spacing w:after="0"/>
              <w:jc w:val="right"/>
              <w:rPr>
                <w:rFonts w:ascii="Arial" w:hAnsi="Arial" w:cs="Arial"/>
                <w:sz w:val="6"/>
                <w:szCs w:val="6"/>
              </w:rPr>
            </w:pPr>
          </w:p>
        </w:tc>
        <w:tc>
          <w:tcPr>
            <w:tcW w:w="731" w:type="dxa"/>
            <w:gridSpan w:val="2"/>
            <w:tcBorders>
              <w:left w:val="nil"/>
              <w:right w:val="nil"/>
            </w:tcBorders>
            <w:shd w:val="clear" w:color="auto" w:fill="A6A6A6"/>
          </w:tcPr>
          <w:p w:rsidR="00000000" w:rsidRDefault="00D35856">
            <w:pPr>
              <w:keepNext w:val="0"/>
              <w:widowControl w:val="0"/>
              <w:spacing w:after="0"/>
              <w:jc w:val="right"/>
              <w:rPr>
                <w:rFonts w:ascii="Arial" w:hAnsi="Arial" w:cs="Arial"/>
                <w:sz w:val="6"/>
                <w:szCs w:val="6"/>
              </w:rPr>
            </w:pPr>
          </w:p>
        </w:tc>
        <w:tc>
          <w:tcPr>
            <w:tcW w:w="2330" w:type="dxa"/>
            <w:gridSpan w:val="3"/>
            <w:tcBorders>
              <w:left w:val="nil"/>
            </w:tcBorders>
            <w:shd w:val="clear" w:color="auto" w:fill="A6A6A6"/>
          </w:tcPr>
          <w:p w:rsidR="00000000" w:rsidRDefault="00D35856">
            <w:pPr>
              <w:keepNext w:val="0"/>
              <w:widowControl w:val="0"/>
              <w:spacing w:after="0"/>
              <w:jc w:val="right"/>
              <w:rPr>
                <w:rFonts w:ascii="Arial" w:hAnsi="Arial" w:cs="Arial"/>
                <w:sz w:val="6"/>
                <w:szCs w:val="6"/>
              </w:rPr>
            </w:pPr>
          </w:p>
        </w:tc>
      </w:tr>
      <w:tr w:rsidR="00000000">
        <w:tc>
          <w:tcPr>
            <w:tcW w:w="1381" w:type="dxa"/>
            <w:vMerge w:val="restart"/>
          </w:tcPr>
          <w:p w:rsidR="00000000" w:rsidRDefault="00D35856">
            <w:pPr>
              <w:keepNext w:val="0"/>
              <w:widowControl w:val="0"/>
              <w:spacing w:after="0"/>
              <w:rPr>
                <w:rFonts w:ascii="Arial" w:hAnsi="Arial" w:cs="Arial"/>
                <w:b/>
                <w:sz w:val="18"/>
                <w:szCs w:val="18"/>
              </w:rPr>
            </w:pPr>
            <w:r>
              <w:rPr>
                <w:rFonts w:ascii="Arial" w:hAnsi="Arial" w:cs="Arial"/>
                <w:b/>
                <w:sz w:val="18"/>
                <w:szCs w:val="18"/>
              </w:rPr>
              <w:t>Recorded registrations 2005-2006 to 2007-2008</w:t>
            </w:r>
          </w:p>
        </w:tc>
        <w:tc>
          <w:tcPr>
            <w:tcW w:w="1831" w:type="dxa"/>
            <w:gridSpan w:val="2"/>
          </w:tcPr>
          <w:p w:rsidR="00000000" w:rsidRDefault="00D35856">
            <w:pPr>
              <w:keepNext w:val="0"/>
              <w:widowControl w:val="0"/>
              <w:spacing w:after="0"/>
              <w:rPr>
                <w:rFonts w:ascii="Arial" w:hAnsi="Arial" w:cs="Arial"/>
                <w:sz w:val="16"/>
                <w:szCs w:val="18"/>
              </w:rPr>
            </w:pPr>
            <w:r>
              <w:rPr>
                <w:rFonts w:ascii="Arial" w:hAnsi="Arial" w:cs="Arial"/>
                <w:sz w:val="16"/>
                <w:szCs w:val="18"/>
              </w:rPr>
              <w:t>Test load 2005-2006 to 2006-2007</w:t>
            </w:r>
          </w:p>
        </w:tc>
        <w:tc>
          <w:tcPr>
            <w:tcW w:w="814" w:type="dxa"/>
            <w:gridSpan w:val="2"/>
          </w:tcPr>
          <w:p w:rsidR="00000000" w:rsidRDefault="00D35856">
            <w:pPr>
              <w:keepNext w:val="0"/>
              <w:widowControl w:val="0"/>
              <w:spacing w:after="0"/>
              <w:jc w:val="right"/>
              <w:rPr>
                <w:rFonts w:ascii="Arial" w:hAnsi="Arial" w:cs="Arial"/>
                <w:sz w:val="18"/>
                <w:szCs w:val="20"/>
              </w:rPr>
            </w:pPr>
            <w:r>
              <w:rPr>
                <w:rFonts w:ascii="Arial" w:hAnsi="Arial" w:cs="Arial"/>
                <w:sz w:val="18"/>
                <w:szCs w:val="20"/>
              </w:rPr>
              <w:t>156</w:t>
            </w:r>
          </w:p>
        </w:tc>
        <w:tc>
          <w:tcPr>
            <w:tcW w:w="709" w:type="dxa"/>
            <w:gridSpan w:val="2"/>
          </w:tcPr>
          <w:p w:rsidR="00000000" w:rsidRDefault="00D35856">
            <w:pPr>
              <w:keepNext w:val="0"/>
              <w:widowControl w:val="0"/>
              <w:spacing w:after="0"/>
              <w:jc w:val="right"/>
              <w:rPr>
                <w:rFonts w:ascii="Arial" w:hAnsi="Arial" w:cs="Arial"/>
                <w:sz w:val="18"/>
                <w:szCs w:val="20"/>
              </w:rPr>
            </w:pPr>
            <w:r>
              <w:rPr>
                <w:rFonts w:ascii="Arial" w:hAnsi="Arial" w:cs="Arial"/>
                <w:sz w:val="18"/>
                <w:szCs w:val="20"/>
              </w:rPr>
              <w:t>129</w:t>
            </w:r>
          </w:p>
        </w:tc>
        <w:tc>
          <w:tcPr>
            <w:tcW w:w="709" w:type="dxa"/>
            <w:gridSpan w:val="2"/>
          </w:tcPr>
          <w:p w:rsidR="00000000" w:rsidRDefault="00D35856">
            <w:pPr>
              <w:keepNext w:val="0"/>
              <w:widowControl w:val="0"/>
              <w:spacing w:after="0"/>
              <w:jc w:val="right"/>
              <w:rPr>
                <w:rFonts w:ascii="Arial" w:hAnsi="Arial" w:cs="Arial"/>
                <w:sz w:val="18"/>
                <w:szCs w:val="20"/>
              </w:rPr>
            </w:pPr>
            <w:r>
              <w:rPr>
                <w:rFonts w:ascii="Arial" w:hAnsi="Arial" w:cs="Arial"/>
                <w:sz w:val="18"/>
                <w:szCs w:val="20"/>
              </w:rPr>
              <w:t>88</w:t>
            </w:r>
          </w:p>
        </w:tc>
        <w:tc>
          <w:tcPr>
            <w:tcW w:w="567" w:type="dxa"/>
            <w:gridSpan w:val="2"/>
          </w:tcPr>
          <w:p w:rsidR="00000000" w:rsidRDefault="00D35856">
            <w:pPr>
              <w:keepNext w:val="0"/>
              <w:widowControl w:val="0"/>
              <w:spacing w:after="0"/>
              <w:jc w:val="right"/>
              <w:rPr>
                <w:rFonts w:ascii="Arial" w:hAnsi="Arial" w:cs="Arial"/>
                <w:sz w:val="18"/>
                <w:szCs w:val="20"/>
              </w:rPr>
            </w:pPr>
            <w:r>
              <w:rPr>
                <w:rFonts w:ascii="Arial" w:hAnsi="Arial" w:cs="Arial"/>
                <w:sz w:val="18"/>
                <w:szCs w:val="20"/>
              </w:rPr>
              <w:t>199</w:t>
            </w:r>
          </w:p>
        </w:tc>
        <w:tc>
          <w:tcPr>
            <w:tcW w:w="709" w:type="dxa"/>
            <w:gridSpan w:val="2"/>
          </w:tcPr>
          <w:p w:rsidR="00000000" w:rsidRDefault="00D35856">
            <w:pPr>
              <w:keepNext w:val="0"/>
              <w:widowControl w:val="0"/>
              <w:spacing w:after="0"/>
              <w:jc w:val="right"/>
              <w:rPr>
                <w:rFonts w:ascii="Arial" w:hAnsi="Arial" w:cs="Arial"/>
                <w:sz w:val="18"/>
                <w:szCs w:val="20"/>
              </w:rPr>
            </w:pPr>
            <w:r>
              <w:rPr>
                <w:rFonts w:ascii="Arial" w:hAnsi="Arial" w:cs="Arial"/>
                <w:sz w:val="18"/>
                <w:szCs w:val="20"/>
              </w:rPr>
              <w:t>351</w:t>
            </w:r>
          </w:p>
        </w:tc>
        <w:tc>
          <w:tcPr>
            <w:tcW w:w="850" w:type="dxa"/>
          </w:tcPr>
          <w:p w:rsidR="00000000" w:rsidRDefault="00D35856">
            <w:pPr>
              <w:keepNext w:val="0"/>
              <w:widowControl w:val="0"/>
              <w:spacing w:after="0"/>
              <w:jc w:val="right"/>
              <w:rPr>
                <w:rFonts w:ascii="Arial" w:hAnsi="Arial" w:cs="Arial"/>
                <w:sz w:val="18"/>
                <w:szCs w:val="20"/>
              </w:rPr>
            </w:pPr>
            <w:r>
              <w:rPr>
                <w:rFonts w:ascii="Arial" w:hAnsi="Arial" w:cs="Arial"/>
                <w:sz w:val="18"/>
                <w:szCs w:val="20"/>
              </w:rPr>
              <w:t>27</w:t>
            </w:r>
          </w:p>
        </w:tc>
        <w:tc>
          <w:tcPr>
            <w:tcW w:w="992" w:type="dxa"/>
          </w:tcPr>
          <w:p w:rsidR="00000000" w:rsidRDefault="00D35856">
            <w:pPr>
              <w:keepNext w:val="0"/>
              <w:widowControl w:val="0"/>
              <w:spacing w:after="0"/>
              <w:jc w:val="right"/>
              <w:rPr>
                <w:rFonts w:ascii="Arial" w:hAnsi="Arial" w:cs="Arial"/>
                <w:sz w:val="18"/>
                <w:szCs w:val="20"/>
              </w:rPr>
            </w:pPr>
            <w:r>
              <w:rPr>
                <w:rFonts w:ascii="Arial" w:hAnsi="Arial" w:cs="Arial"/>
                <w:sz w:val="18"/>
                <w:szCs w:val="20"/>
              </w:rPr>
              <w:t>966</w:t>
            </w:r>
          </w:p>
        </w:tc>
      </w:tr>
      <w:tr w:rsidR="00000000">
        <w:tc>
          <w:tcPr>
            <w:tcW w:w="1381" w:type="dxa"/>
            <w:vMerge/>
          </w:tcPr>
          <w:p w:rsidR="00000000" w:rsidRDefault="00D35856">
            <w:pPr>
              <w:keepNext w:val="0"/>
              <w:widowControl w:val="0"/>
              <w:spacing w:after="0"/>
              <w:rPr>
                <w:rFonts w:ascii="Arial" w:hAnsi="Arial" w:cs="Arial"/>
                <w:sz w:val="18"/>
                <w:szCs w:val="18"/>
              </w:rPr>
            </w:pPr>
          </w:p>
        </w:tc>
        <w:tc>
          <w:tcPr>
            <w:tcW w:w="1831" w:type="dxa"/>
            <w:gridSpan w:val="2"/>
          </w:tcPr>
          <w:p w:rsidR="00000000" w:rsidRDefault="00D35856">
            <w:pPr>
              <w:keepNext w:val="0"/>
              <w:widowControl w:val="0"/>
              <w:spacing w:after="0"/>
              <w:rPr>
                <w:rFonts w:ascii="Arial" w:hAnsi="Arial" w:cs="Arial"/>
                <w:sz w:val="16"/>
                <w:szCs w:val="18"/>
              </w:rPr>
            </w:pPr>
            <w:r>
              <w:rPr>
                <w:rFonts w:ascii="Arial" w:hAnsi="Arial" w:cs="Arial"/>
                <w:sz w:val="16"/>
                <w:szCs w:val="18"/>
              </w:rPr>
              <w:t>Annualised test load from Jul -Nov07</w:t>
            </w:r>
          </w:p>
        </w:tc>
        <w:tc>
          <w:tcPr>
            <w:tcW w:w="814" w:type="dxa"/>
            <w:gridSpan w:val="2"/>
          </w:tcPr>
          <w:p w:rsidR="00000000" w:rsidRDefault="00D35856">
            <w:pPr>
              <w:keepNext w:val="0"/>
              <w:widowControl w:val="0"/>
              <w:spacing w:after="0"/>
              <w:jc w:val="right"/>
              <w:rPr>
                <w:rFonts w:ascii="Arial" w:hAnsi="Arial" w:cs="Arial"/>
                <w:sz w:val="18"/>
                <w:szCs w:val="20"/>
              </w:rPr>
            </w:pPr>
            <w:r>
              <w:rPr>
                <w:rFonts w:ascii="Arial" w:hAnsi="Arial" w:cs="Arial"/>
                <w:sz w:val="18"/>
                <w:szCs w:val="20"/>
              </w:rPr>
              <w:t>79</w:t>
            </w:r>
          </w:p>
        </w:tc>
        <w:tc>
          <w:tcPr>
            <w:tcW w:w="709" w:type="dxa"/>
            <w:gridSpan w:val="2"/>
          </w:tcPr>
          <w:p w:rsidR="00000000" w:rsidRDefault="00D35856">
            <w:pPr>
              <w:keepNext w:val="0"/>
              <w:widowControl w:val="0"/>
              <w:spacing w:after="0"/>
              <w:jc w:val="right"/>
              <w:rPr>
                <w:rFonts w:ascii="Arial" w:hAnsi="Arial" w:cs="Arial"/>
                <w:sz w:val="18"/>
                <w:szCs w:val="20"/>
              </w:rPr>
            </w:pPr>
            <w:r>
              <w:rPr>
                <w:rFonts w:ascii="Arial" w:hAnsi="Arial" w:cs="Arial"/>
                <w:sz w:val="18"/>
                <w:szCs w:val="20"/>
              </w:rPr>
              <w:t>48</w:t>
            </w:r>
          </w:p>
        </w:tc>
        <w:tc>
          <w:tcPr>
            <w:tcW w:w="709" w:type="dxa"/>
            <w:gridSpan w:val="2"/>
            <w:shd w:val="clear" w:color="auto" w:fill="FFFF00"/>
          </w:tcPr>
          <w:p w:rsidR="00000000" w:rsidRDefault="00D35856">
            <w:pPr>
              <w:keepNext w:val="0"/>
              <w:widowControl w:val="0"/>
              <w:spacing w:after="0"/>
              <w:jc w:val="right"/>
              <w:rPr>
                <w:rFonts w:ascii="Arial" w:hAnsi="Arial" w:cs="Arial"/>
                <w:sz w:val="18"/>
                <w:szCs w:val="20"/>
              </w:rPr>
            </w:pPr>
            <w:r>
              <w:rPr>
                <w:rFonts w:ascii="Arial" w:hAnsi="Arial" w:cs="Arial"/>
                <w:sz w:val="18"/>
                <w:szCs w:val="20"/>
              </w:rPr>
              <w:t>34</w:t>
            </w:r>
          </w:p>
        </w:tc>
        <w:tc>
          <w:tcPr>
            <w:tcW w:w="567" w:type="dxa"/>
            <w:gridSpan w:val="2"/>
          </w:tcPr>
          <w:p w:rsidR="00000000" w:rsidRDefault="00D35856">
            <w:pPr>
              <w:keepNext w:val="0"/>
              <w:widowControl w:val="0"/>
              <w:spacing w:after="0"/>
              <w:jc w:val="right"/>
              <w:rPr>
                <w:rFonts w:ascii="Arial" w:hAnsi="Arial" w:cs="Arial"/>
                <w:sz w:val="18"/>
                <w:szCs w:val="20"/>
              </w:rPr>
            </w:pPr>
            <w:r>
              <w:rPr>
                <w:rFonts w:ascii="Arial" w:hAnsi="Arial" w:cs="Arial"/>
                <w:sz w:val="18"/>
                <w:szCs w:val="20"/>
              </w:rPr>
              <w:t>19</w:t>
            </w:r>
          </w:p>
        </w:tc>
        <w:tc>
          <w:tcPr>
            <w:tcW w:w="709" w:type="dxa"/>
            <w:gridSpan w:val="2"/>
            <w:shd w:val="clear" w:color="auto" w:fill="FFFF00"/>
          </w:tcPr>
          <w:p w:rsidR="00000000" w:rsidRDefault="00D35856">
            <w:pPr>
              <w:keepNext w:val="0"/>
              <w:widowControl w:val="0"/>
              <w:spacing w:after="0"/>
              <w:jc w:val="right"/>
              <w:rPr>
                <w:rFonts w:ascii="Arial" w:hAnsi="Arial" w:cs="Arial"/>
                <w:sz w:val="18"/>
                <w:szCs w:val="20"/>
              </w:rPr>
            </w:pPr>
            <w:r>
              <w:rPr>
                <w:rFonts w:ascii="Arial" w:hAnsi="Arial" w:cs="Arial"/>
                <w:sz w:val="18"/>
                <w:szCs w:val="20"/>
              </w:rPr>
              <w:t>89</w:t>
            </w:r>
          </w:p>
        </w:tc>
        <w:tc>
          <w:tcPr>
            <w:tcW w:w="850" w:type="dxa"/>
          </w:tcPr>
          <w:p w:rsidR="00000000" w:rsidRDefault="00D35856">
            <w:pPr>
              <w:keepNext w:val="0"/>
              <w:widowControl w:val="0"/>
              <w:spacing w:after="0"/>
              <w:jc w:val="right"/>
              <w:rPr>
                <w:rFonts w:ascii="Arial" w:hAnsi="Arial" w:cs="Arial"/>
                <w:sz w:val="18"/>
                <w:szCs w:val="20"/>
              </w:rPr>
            </w:pPr>
            <w:r>
              <w:rPr>
                <w:rFonts w:ascii="Arial" w:hAnsi="Arial" w:cs="Arial"/>
                <w:sz w:val="18"/>
                <w:szCs w:val="20"/>
              </w:rPr>
              <w:t>7</w:t>
            </w:r>
          </w:p>
        </w:tc>
        <w:tc>
          <w:tcPr>
            <w:tcW w:w="992" w:type="dxa"/>
          </w:tcPr>
          <w:p w:rsidR="00000000" w:rsidRDefault="00D35856">
            <w:pPr>
              <w:keepNext w:val="0"/>
              <w:widowControl w:val="0"/>
              <w:spacing w:after="0"/>
              <w:jc w:val="right"/>
              <w:rPr>
                <w:rFonts w:ascii="Arial" w:hAnsi="Arial" w:cs="Arial"/>
                <w:sz w:val="18"/>
                <w:szCs w:val="20"/>
              </w:rPr>
            </w:pPr>
            <w:r>
              <w:rPr>
                <w:rFonts w:ascii="Arial" w:hAnsi="Arial" w:cs="Arial"/>
                <w:sz w:val="18"/>
                <w:szCs w:val="20"/>
              </w:rPr>
              <w:t>79</w:t>
            </w:r>
          </w:p>
        </w:tc>
      </w:tr>
      <w:tr w:rsidR="00000000">
        <w:tc>
          <w:tcPr>
            <w:tcW w:w="1381" w:type="dxa"/>
            <w:vMerge/>
          </w:tcPr>
          <w:p w:rsidR="00000000" w:rsidRDefault="00D35856">
            <w:pPr>
              <w:keepNext w:val="0"/>
              <w:widowControl w:val="0"/>
              <w:spacing w:after="0"/>
              <w:rPr>
                <w:rFonts w:ascii="Arial" w:hAnsi="Arial" w:cs="Arial"/>
                <w:sz w:val="18"/>
                <w:szCs w:val="18"/>
              </w:rPr>
            </w:pPr>
          </w:p>
        </w:tc>
        <w:tc>
          <w:tcPr>
            <w:tcW w:w="1831" w:type="dxa"/>
            <w:gridSpan w:val="2"/>
          </w:tcPr>
          <w:p w:rsidR="00000000" w:rsidRDefault="00D35856">
            <w:pPr>
              <w:keepNext w:val="0"/>
              <w:widowControl w:val="0"/>
              <w:spacing w:after="0"/>
              <w:rPr>
                <w:rFonts w:ascii="Arial" w:hAnsi="Arial" w:cs="Arial"/>
                <w:sz w:val="16"/>
                <w:szCs w:val="18"/>
              </w:rPr>
            </w:pPr>
            <w:r>
              <w:rPr>
                <w:rFonts w:ascii="Arial" w:hAnsi="Arial" w:cs="Arial"/>
                <w:sz w:val="16"/>
                <w:szCs w:val="18"/>
              </w:rPr>
              <w:t>Annualised additions from Jul-Nov07</w:t>
            </w:r>
          </w:p>
        </w:tc>
        <w:tc>
          <w:tcPr>
            <w:tcW w:w="814" w:type="dxa"/>
            <w:gridSpan w:val="2"/>
          </w:tcPr>
          <w:p w:rsidR="00000000" w:rsidRDefault="00D35856">
            <w:pPr>
              <w:keepNext w:val="0"/>
              <w:widowControl w:val="0"/>
              <w:spacing w:after="0"/>
              <w:jc w:val="right"/>
              <w:rPr>
                <w:rFonts w:ascii="Arial" w:hAnsi="Arial" w:cs="Arial"/>
                <w:sz w:val="18"/>
                <w:szCs w:val="20"/>
              </w:rPr>
            </w:pPr>
            <w:r>
              <w:rPr>
                <w:rFonts w:ascii="Arial" w:hAnsi="Arial" w:cs="Arial"/>
                <w:sz w:val="18"/>
                <w:szCs w:val="20"/>
              </w:rPr>
              <w:t>n/a</w:t>
            </w:r>
          </w:p>
        </w:tc>
        <w:tc>
          <w:tcPr>
            <w:tcW w:w="709" w:type="dxa"/>
            <w:gridSpan w:val="2"/>
          </w:tcPr>
          <w:p w:rsidR="00000000" w:rsidRDefault="00D35856">
            <w:pPr>
              <w:keepNext w:val="0"/>
              <w:widowControl w:val="0"/>
              <w:spacing w:after="0"/>
              <w:jc w:val="right"/>
              <w:rPr>
                <w:rFonts w:ascii="Arial" w:hAnsi="Arial" w:cs="Arial"/>
                <w:sz w:val="18"/>
                <w:szCs w:val="20"/>
              </w:rPr>
            </w:pPr>
            <w:r>
              <w:rPr>
                <w:rFonts w:ascii="Arial" w:hAnsi="Arial" w:cs="Arial"/>
                <w:sz w:val="18"/>
                <w:szCs w:val="20"/>
              </w:rPr>
              <w:t>n/a</w:t>
            </w:r>
          </w:p>
        </w:tc>
        <w:tc>
          <w:tcPr>
            <w:tcW w:w="709" w:type="dxa"/>
            <w:gridSpan w:val="2"/>
          </w:tcPr>
          <w:p w:rsidR="00000000" w:rsidRDefault="00D35856">
            <w:pPr>
              <w:keepNext w:val="0"/>
              <w:widowControl w:val="0"/>
              <w:spacing w:after="0"/>
              <w:jc w:val="right"/>
              <w:rPr>
                <w:rFonts w:ascii="Arial" w:hAnsi="Arial" w:cs="Arial"/>
                <w:sz w:val="18"/>
                <w:szCs w:val="20"/>
              </w:rPr>
            </w:pPr>
            <w:r>
              <w:rPr>
                <w:rFonts w:ascii="Arial" w:hAnsi="Arial" w:cs="Arial"/>
                <w:sz w:val="18"/>
                <w:szCs w:val="20"/>
              </w:rPr>
              <w:t>91</w:t>
            </w:r>
          </w:p>
        </w:tc>
        <w:tc>
          <w:tcPr>
            <w:tcW w:w="567" w:type="dxa"/>
            <w:gridSpan w:val="2"/>
          </w:tcPr>
          <w:p w:rsidR="00000000" w:rsidRDefault="00D35856">
            <w:pPr>
              <w:keepNext w:val="0"/>
              <w:widowControl w:val="0"/>
              <w:spacing w:after="0"/>
              <w:jc w:val="right"/>
              <w:rPr>
                <w:rFonts w:ascii="Arial" w:hAnsi="Arial" w:cs="Arial"/>
                <w:sz w:val="18"/>
                <w:szCs w:val="20"/>
              </w:rPr>
            </w:pPr>
            <w:r>
              <w:rPr>
                <w:rFonts w:ascii="Arial" w:hAnsi="Arial" w:cs="Arial"/>
                <w:sz w:val="18"/>
                <w:szCs w:val="20"/>
              </w:rPr>
              <w:t>65</w:t>
            </w:r>
          </w:p>
        </w:tc>
        <w:tc>
          <w:tcPr>
            <w:tcW w:w="709" w:type="dxa"/>
            <w:gridSpan w:val="2"/>
          </w:tcPr>
          <w:p w:rsidR="00000000" w:rsidRDefault="00D35856">
            <w:pPr>
              <w:keepNext w:val="0"/>
              <w:widowControl w:val="0"/>
              <w:spacing w:after="0"/>
              <w:jc w:val="right"/>
              <w:rPr>
                <w:rFonts w:ascii="Arial" w:hAnsi="Arial" w:cs="Arial"/>
                <w:sz w:val="18"/>
                <w:szCs w:val="20"/>
              </w:rPr>
            </w:pPr>
            <w:r>
              <w:rPr>
                <w:rFonts w:ascii="Arial" w:hAnsi="Arial" w:cs="Arial"/>
                <w:sz w:val="18"/>
                <w:szCs w:val="20"/>
              </w:rPr>
              <w:t>139</w:t>
            </w:r>
          </w:p>
        </w:tc>
        <w:tc>
          <w:tcPr>
            <w:tcW w:w="850" w:type="dxa"/>
          </w:tcPr>
          <w:p w:rsidR="00000000" w:rsidRDefault="00D35856">
            <w:pPr>
              <w:keepNext w:val="0"/>
              <w:widowControl w:val="0"/>
              <w:spacing w:after="0"/>
              <w:jc w:val="right"/>
              <w:rPr>
                <w:rFonts w:ascii="Arial" w:hAnsi="Arial" w:cs="Arial"/>
                <w:sz w:val="18"/>
                <w:szCs w:val="20"/>
              </w:rPr>
            </w:pPr>
            <w:r>
              <w:rPr>
                <w:rFonts w:ascii="Arial" w:hAnsi="Arial" w:cs="Arial"/>
                <w:sz w:val="18"/>
                <w:szCs w:val="20"/>
              </w:rPr>
              <w:t>0</w:t>
            </w:r>
          </w:p>
        </w:tc>
        <w:tc>
          <w:tcPr>
            <w:tcW w:w="992" w:type="dxa"/>
          </w:tcPr>
          <w:p w:rsidR="00000000" w:rsidRDefault="00D35856">
            <w:pPr>
              <w:keepNext w:val="0"/>
              <w:widowControl w:val="0"/>
              <w:spacing w:after="0"/>
              <w:jc w:val="right"/>
              <w:rPr>
                <w:rFonts w:ascii="Arial" w:hAnsi="Arial" w:cs="Arial"/>
                <w:sz w:val="18"/>
                <w:szCs w:val="20"/>
              </w:rPr>
            </w:pPr>
            <w:r>
              <w:rPr>
                <w:rFonts w:ascii="Arial" w:hAnsi="Arial" w:cs="Arial"/>
                <w:sz w:val="18"/>
                <w:szCs w:val="20"/>
              </w:rPr>
              <w:t>10</w:t>
            </w:r>
          </w:p>
        </w:tc>
      </w:tr>
      <w:tr w:rsidR="00000000">
        <w:tc>
          <w:tcPr>
            <w:tcW w:w="1381" w:type="dxa"/>
            <w:tcBorders>
              <w:right w:val="nil"/>
            </w:tcBorders>
            <w:shd w:val="clear" w:color="auto" w:fill="A6A6A6"/>
          </w:tcPr>
          <w:p w:rsidR="00000000" w:rsidRDefault="00D35856">
            <w:pPr>
              <w:keepNext w:val="0"/>
              <w:widowControl w:val="0"/>
              <w:spacing w:after="0"/>
              <w:rPr>
                <w:rFonts w:ascii="Arial" w:hAnsi="Arial" w:cs="Arial"/>
                <w:b/>
                <w:sz w:val="6"/>
                <w:szCs w:val="6"/>
              </w:rPr>
            </w:pPr>
            <w:r>
              <w:rPr>
                <w:rFonts w:ascii="Arial" w:hAnsi="Arial" w:cs="Arial"/>
                <w:b/>
                <w:sz w:val="6"/>
                <w:szCs w:val="6"/>
              </w:rPr>
              <w:t>s</w:t>
            </w:r>
          </w:p>
        </w:tc>
        <w:tc>
          <w:tcPr>
            <w:tcW w:w="1194" w:type="dxa"/>
            <w:tcBorders>
              <w:left w:val="nil"/>
              <w:right w:val="nil"/>
            </w:tcBorders>
            <w:shd w:val="clear" w:color="auto" w:fill="A6A6A6"/>
          </w:tcPr>
          <w:p w:rsidR="00000000" w:rsidRDefault="00D35856">
            <w:pPr>
              <w:keepNext w:val="0"/>
              <w:widowControl w:val="0"/>
              <w:spacing w:after="0"/>
              <w:rPr>
                <w:rFonts w:ascii="Arial" w:hAnsi="Arial" w:cs="Arial"/>
                <w:sz w:val="6"/>
                <w:szCs w:val="6"/>
              </w:rPr>
            </w:pPr>
          </w:p>
        </w:tc>
        <w:tc>
          <w:tcPr>
            <w:tcW w:w="731" w:type="dxa"/>
            <w:gridSpan w:val="2"/>
            <w:tcBorders>
              <w:left w:val="nil"/>
              <w:right w:val="nil"/>
            </w:tcBorders>
            <w:shd w:val="clear" w:color="auto" w:fill="A6A6A6"/>
          </w:tcPr>
          <w:p w:rsidR="00000000" w:rsidRDefault="00D35856">
            <w:pPr>
              <w:keepNext w:val="0"/>
              <w:widowControl w:val="0"/>
              <w:spacing w:after="0"/>
              <w:jc w:val="right"/>
              <w:rPr>
                <w:rFonts w:ascii="Arial" w:hAnsi="Arial" w:cs="Arial"/>
                <w:sz w:val="6"/>
                <w:szCs w:val="6"/>
              </w:rPr>
            </w:pPr>
          </w:p>
        </w:tc>
        <w:tc>
          <w:tcPr>
            <w:tcW w:w="732" w:type="dxa"/>
            <w:gridSpan w:val="2"/>
            <w:tcBorders>
              <w:left w:val="nil"/>
              <w:right w:val="nil"/>
            </w:tcBorders>
            <w:shd w:val="clear" w:color="auto" w:fill="A6A6A6"/>
          </w:tcPr>
          <w:p w:rsidR="00000000" w:rsidRDefault="00D35856">
            <w:pPr>
              <w:keepNext w:val="0"/>
              <w:widowControl w:val="0"/>
              <w:spacing w:after="0"/>
              <w:jc w:val="right"/>
              <w:rPr>
                <w:rFonts w:ascii="Arial" w:hAnsi="Arial" w:cs="Arial"/>
                <w:sz w:val="6"/>
                <w:szCs w:val="6"/>
              </w:rPr>
            </w:pPr>
          </w:p>
        </w:tc>
        <w:tc>
          <w:tcPr>
            <w:tcW w:w="731" w:type="dxa"/>
            <w:gridSpan w:val="2"/>
            <w:tcBorders>
              <w:left w:val="nil"/>
              <w:right w:val="nil"/>
            </w:tcBorders>
            <w:shd w:val="clear" w:color="auto" w:fill="A6A6A6"/>
          </w:tcPr>
          <w:p w:rsidR="00000000" w:rsidRDefault="00D35856">
            <w:pPr>
              <w:keepNext w:val="0"/>
              <w:widowControl w:val="0"/>
              <w:spacing w:after="0"/>
              <w:jc w:val="right"/>
              <w:rPr>
                <w:rFonts w:ascii="Arial" w:hAnsi="Arial" w:cs="Arial"/>
                <w:sz w:val="6"/>
                <w:szCs w:val="6"/>
              </w:rPr>
            </w:pPr>
          </w:p>
        </w:tc>
        <w:tc>
          <w:tcPr>
            <w:tcW w:w="732" w:type="dxa"/>
            <w:gridSpan w:val="2"/>
            <w:tcBorders>
              <w:left w:val="nil"/>
              <w:right w:val="nil"/>
            </w:tcBorders>
            <w:shd w:val="clear" w:color="auto" w:fill="A6A6A6"/>
          </w:tcPr>
          <w:p w:rsidR="00000000" w:rsidRDefault="00D35856">
            <w:pPr>
              <w:keepNext w:val="0"/>
              <w:widowControl w:val="0"/>
              <w:spacing w:after="0"/>
              <w:jc w:val="right"/>
              <w:rPr>
                <w:rFonts w:ascii="Arial" w:hAnsi="Arial" w:cs="Arial"/>
                <w:sz w:val="6"/>
                <w:szCs w:val="6"/>
              </w:rPr>
            </w:pPr>
          </w:p>
        </w:tc>
        <w:tc>
          <w:tcPr>
            <w:tcW w:w="731" w:type="dxa"/>
            <w:gridSpan w:val="2"/>
            <w:tcBorders>
              <w:left w:val="nil"/>
              <w:right w:val="nil"/>
            </w:tcBorders>
            <w:shd w:val="clear" w:color="auto" w:fill="A6A6A6"/>
          </w:tcPr>
          <w:p w:rsidR="00000000" w:rsidRDefault="00D35856">
            <w:pPr>
              <w:keepNext w:val="0"/>
              <w:widowControl w:val="0"/>
              <w:spacing w:after="0"/>
              <w:jc w:val="right"/>
              <w:rPr>
                <w:rFonts w:ascii="Arial" w:hAnsi="Arial" w:cs="Arial"/>
                <w:sz w:val="6"/>
                <w:szCs w:val="6"/>
              </w:rPr>
            </w:pPr>
          </w:p>
        </w:tc>
        <w:tc>
          <w:tcPr>
            <w:tcW w:w="2330" w:type="dxa"/>
            <w:gridSpan w:val="3"/>
            <w:tcBorders>
              <w:left w:val="nil"/>
            </w:tcBorders>
            <w:shd w:val="clear" w:color="auto" w:fill="A6A6A6"/>
          </w:tcPr>
          <w:p w:rsidR="00000000" w:rsidRDefault="00D35856">
            <w:pPr>
              <w:keepNext w:val="0"/>
              <w:widowControl w:val="0"/>
              <w:spacing w:after="0"/>
              <w:jc w:val="right"/>
              <w:rPr>
                <w:rFonts w:ascii="Arial" w:hAnsi="Arial" w:cs="Arial"/>
                <w:sz w:val="6"/>
                <w:szCs w:val="6"/>
              </w:rPr>
            </w:pPr>
          </w:p>
        </w:tc>
      </w:tr>
      <w:tr w:rsidR="00000000">
        <w:tc>
          <w:tcPr>
            <w:tcW w:w="1381" w:type="dxa"/>
            <w:vMerge w:val="restart"/>
          </w:tcPr>
          <w:p w:rsidR="00000000" w:rsidRDefault="00D35856">
            <w:pPr>
              <w:keepNext w:val="0"/>
              <w:widowControl w:val="0"/>
              <w:spacing w:after="0"/>
              <w:rPr>
                <w:rFonts w:ascii="Arial" w:hAnsi="Arial" w:cs="Arial"/>
                <w:b/>
                <w:sz w:val="18"/>
                <w:szCs w:val="18"/>
              </w:rPr>
            </w:pPr>
            <w:r>
              <w:rPr>
                <w:rFonts w:ascii="Arial" w:hAnsi="Arial" w:cs="Arial"/>
                <w:b/>
                <w:sz w:val="18"/>
                <w:szCs w:val="18"/>
              </w:rPr>
              <w:t>Projections used in this study</w:t>
            </w:r>
          </w:p>
        </w:tc>
        <w:tc>
          <w:tcPr>
            <w:tcW w:w="1831" w:type="dxa"/>
            <w:gridSpan w:val="2"/>
          </w:tcPr>
          <w:p w:rsidR="00000000" w:rsidRDefault="00D35856">
            <w:pPr>
              <w:keepNext w:val="0"/>
              <w:widowControl w:val="0"/>
              <w:spacing w:after="0"/>
              <w:rPr>
                <w:rFonts w:ascii="Arial" w:hAnsi="Arial" w:cs="Arial"/>
                <w:sz w:val="16"/>
                <w:szCs w:val="18"/>
              </w:rPr>
            </w:pPr>
            <w:r>
              <w:rPr>
                <w:rFonts w:ascii="Arial" w:hAnsi="Arial" w:cs="Arial"/>
                <w:sz w:val="16"/>
                <w:szCs w:val="18"/>
              </w:rPr>
              <w:t>Annual test load</w:t>
            </w:r>
          </w:p>
        </w:tc>
        <w:tc>
          <w:tcPr>
            <w:tcW w:w="814" w:type="dxa"/>
            <w:gridSpan w:val="2"/>
            <w:shd w:val="clear" w:color="auto" w:fill="FFFF00"/>
          </w:tcPr>
          <w:p w:rsidR="00000000" w:rsidRDefault="00D35856">
            <w:pPr>
              <w:keepNext w:val="0"/>
              <w:widowControl w:val="0"/>
              <w:spacing w:after="0"/>
              <w:jc w:val="right"/>
              <w:rPr>
                <w:rFonts w:ascii="Arial" w:hAnsi="Arial" w:cs="Arial"/>
                <w:sz w:val="18"/>
              </w:rPr>
            </w:pPr>
            <w:r>
              <w:rPr>
                <w:rFonts w:ascii="Arial" w:hAnsi="Arial" w:cs="Arial"/>
                <w:sz w:val="18"/>
              </w:rPr>
              <w:t>45</w:t>
            </w:r>
          </w:p>
        </w:tc>
        <w:tc>
          <w:tcPr>
            <w:tcW w:w="709" w:type="dxa"/>
            <w:gridSpan w:val="2"/>
            <w:shd w:val="clear" w:color="auto" w:fill="FFFF00"/>
          </w:tcPr>
          <w:p w:rsidR="00000000" w:rsidRDefault="00D35856">
            <w:pPr>
              <w:keepNext w:val="0"/>
              <w:widowControl w:val="0"/>
              <w:spacing w:after="0"/>
              <w:jc w:val="right"/>
              <w:rPr>
                <w:rFonts w:ascii="Arial" w:hAnsi="Arial" w:cs="Arial"/>
                <w:sz w:val="18"/>
              </w:rPr>
            </w:pPr>
            <w:r>
              <w:rPr>
                <w:rFonts w:ascii="Arial" w:hAnsi="Arial" w:cs="Arial"/>
                <w:sz w:val="18"/>
              </w:rPr>
              <w:t>30</w:t>
            </w:r>
          </w:p>
        </w:tc>
        <w:tc>
          <w:tcPr>
            <w:tcW w:w="709" w:type="dxa"/>
            <w:gridSpan w:val="2"/>
            <w:shd w:val="clear" w:color="auto" w:fill="FFFF00"/>
          </w:tcPr>
          <w:p w:rsidR="00000000" w:rsidRDefault="00D35856">
            <w:pPr>
              <w:keepNext w:val="0"/>
              <w:widowControl w:val="0"/>
              <w:spacing w:after="0"/>
              <w:jc w:val="right"/>
              <w:rPr>
                <w:rFonts w:ascii="Arial" w:hAnsi="Arial" w:cs="Arial"/>
                <w:sz w:val="18"/>
              </w:rPr>
            </w:pPr>
            <w:r>
              <w:rPr>
                <w:rFonts w:ascii="Arial" w:hAnsi="Arial" w:cs="Arial"/>
                <w:sz w:val="18"/>
              </w:rPr>
              <w:t>34</w:t>
            </w:r>
          </w:p>
        </w:tc>
        <w:tc>
          <w:tcPr>
            <w:tcW w:w="567" w:type="dxa"/>
            <w:gridSpan w:val="2"/>
            <w:shd w:val="clear" w:color="auto" w:fill="FFFF00"/>
          </w:tcPr>
          <w:p w:rsidR="00000000" w:rsidRDefault="00D35856">
            <w:pPr>
              <w:keepNext w:val="0"/>
              <w:widowControl w:val="0"/>
              <w:spacing w:after="0"/>
              <w:jc w:val="right"/>
              <w:rPr>
                <w:rFonts w:ascii="Arial" w:hAnsi="Arial" w:cs="Arial"/>
                <w:sz w:val="18"/>
              </w:rPr>
            </w:pPr>
            <w:r>
              <w:rPr>
                <w:rFonts w:ascii="Arial" w:hAnsi="Arial" w:cs="Arial"/>
                <w:sz w:val="18"/>
              </w:rPr>
              <w:t>30</w:t>
            </w:r>
          </w:p>
        </w:tc>
        <w:tc>
          <w:tcPr>
            <w:tcW w:w="709" w:type="dxa"/>
            <w:gridSpan w:val="2"/>
            <w:shd w:val="clear" w:color="auto" w:fill="FFFF00"/>
          </w:tcPr>
          <w:p w:rsidR="00000000" w:rsidRDefault="00D35856">
            <w:pPr>
              <w:keepNext w:val="0"/>
              <w:widowControl w:val="0"/>
              <w:spacing w:after="0"/>
              <w:jc w:val="right"/>
              <w:rPr>
                <w:rFonts w:ascii="Arial" w:hAnsi="Arial" w:cs="Arial"/>
                <w:sz w:val="18"/>
              </w:rPr>
            </w:pPr>
            <w:r>
              <w:rPr>
                <w:rFonts w:ascii="Arial" w:hAnsi="Arial" w:cs="Arial"/>
                <w:sz w:val="18"/>
              </w:rPr>
              <w:t>89</w:t>
            </w:r>
          </w:p>
        </w:tc>
        <w:tc>
          <w:tcPr>
            <w:tcW w:w="850" w:type="dxa"/>
            <w:shd w:val="clear" w:color="auto" w:fill="FFFF00"/>
          </w:tcPr>
          <w:p w:rsidR="00000000" w:rsidRDefault="00D35856">
            <w:pPr>
              <w:keepNext w:val="0"/>
              <w:widowControl w:val="0"/>
              <w:spacing w:after="0"/>
              <w:jc w:val="right"/>
              <w:rPr>
                <w:rFonts w:ascii="Arial" w:hAnsi="Arial" w:cs="Arial"/>
                <w:sz w:val="18"/>
              </w:rPr>
            </w:pPr>
            <w:r>
              <w:rPr>
                <w:rFonts w:ascii="Arial" w:hAnsi="Arial" w:cs="Arial"/>
                <w:sz w:val="18"/>
              </w:rPr>
              <w:t>23</w:t>
            </w:r>
          </w:p>
        </w:tc>
        <w:tc>
          <w:tcPr>
            <w:tcW w:w="992" w:type="dxa"/>
          </w:tcPr>
          <w:p w:rsidR="00000000" w:rsidRDefault="00D35856">
            <w:pPr>
              <w:keepNext w:val="0"/>
              <w:widowControl w:val="0"/>
              <w:spacing w:after="0"/>
              <w:jc w:val="right"/>
              <w:rPr>
                <w:rFonts w:ascii="Arial" w:hAnsi="Arial" w:cs="Arial"/>
                <w:sz w:val="18"/>
              </w:rPr>
            </w:pPr>
          </w:p>
        </w:tc>
      </w:tr>
      <w:tr w:rsidR="00000000">
        <w:tc>
          <w:tcPr>
            <w:tcW w:w="1381" w:type="dxa"/>
            <w:vMerge/>
          </w:tcPr>
          <w:p w:rsidR="00000000" w:rsidRDefault="00D35856">
            <w:pPr>
              <w:keepNext w:val="0"/>
              <w:widowControl w:val="0"/>
              <w:spacing w:after="0"/>
              <w:rPr>
                <w:rFonts w:ascii="Arial" w:hAnsi="Arial" w:cs="Arial"/>
                <w:sz w:val="18"/>
                <w:szCs w:val="18"/>
              </w:rPr>
            </w:pPr>
          </w:p>
        </w:tc>
        <w:tc>
          <w:tcPr>
            <w:tcW w:w="1831" w:type="dxa"/>
            <w:gridSpan w:val="2"/>
          </w:tcPr>
          <w:p w:rsidR="00000000" w:rsidRDefault="00D35856">
            <w:pPr>
              <w:keepNext w:val="0"/>
              <w:widowControl w:val="0"/>
              <w:spacing w:after="0"/>
              <w:rPr>
                <w:rFonts w:ascii="Arial" w:hAnsi="Arial" w:cs="Arial"/>
                <w:sz w:val="16"/>
                <w:szCs w:val="18"/>
              </w:rPr>
            </w:pPr>
            <w:r>
              <w:rPr>
                <w:rFonts w:ascii="Arial" w:hAnsi="Arial" w:cs="Arial"/>
                <w:sz w:val="16"/>
                <w:szCs w:val="18"/>
              </w:rPr>
              <w:t>Annual additions</w:t>
            </w:r>
          </w:p>
        </w:tc>
        <w:tc>
          <w:tcPr>
            <w:tcW w:w="814" w:type="dxa"/>
            <w:gridSpan w:val="2"/>
          </w:tcPr>
          <w:p w:rsidR="00000000" w:rsidRDefault="00D35856">
            <w:pPr>
              <w:keepNext w:val="0"/>
              <w:widowControl w:val="0"/>
              <w:spacing w:after="0"/>
              <w:jc w:val="right"/>
              <w:rPr>
                <w:rFonts w:ascii="Arial" w:hAnsi="Arial" w:cs="Arial"/>
                <w:sz w:val="18"/>
              </w:rPr>
            </w:pPr>
            <w:r>
              <w:rPr>
                <w:rFonts w:ascii="Arial" w:hAnsi="Arial" w:cs="Arial"/>
                <w:sz w:val="18"/>
              </w:rPr>
              <w:t>0</w:t>
            </w:r>
          </w:p>
        </w:tc>
        <w:tc>
          <w:tcPr>
            <w:tcW w:w="709" w:type="dxa"/>
            <w:gridSpan w:val="2"/>
          </w:tcPr>
          <w:p w:rsidR="00000000" w:rsidRDefault="00D35856">
            <w:pPr>
              <w:keepNext w:val="0"/>
              <w:widowControl w:val="0"/>
              <w:spacing w:after="0"/>
              <w:jc w:val="right"/>
              <w:rPr>
                <w:rFonts w:ascii="Arial" w:hAnsi="Arial" w:cs="Arial"/>
                <w:sz w:val="18"/>
              </w:rPr>
            </w:pPr>
            <w:r>
              <w:rPr>
                <w:rFonts w:ascii="Arial" w:hAnsi="Arial" w:cs="Arial"/>
                <w:sz w:val="18"/>
              </w:rPr>
              <w:t>0</w:t>
            </w:r>
          </w:p>
        </w:tc>
        <w:tc>
          <w:tcPr>
            <w:tcW w:w="709" w:type="dxa"/>
            <w:gridSpan w:val="2"/>
          </w:tcPr>
          <w:p w:rsidR="00000000" w:rsidRDefault="00D35856">
            <w:pPr>
              <w:keepNext w:val="0"/>
              <w:widowControl w:val="0"/>
              <w:spacing w:after="0"/>
              <w:jc w:val="right"/>
              <w:rPr>
                <w:rFonts w:ascii="Arial" w:hAnsi="Arial" w:cs="Arial"/>
                <w:sz w:val="18"/>
                <w:szCs w:val="20"/>
              </w:rPr>
            </w:pPr>
            <w:r>
              <w:rPr>
                <w:rFonts w:ascii="Arial" w:hAnsi="Arial" w:cs="Arial"/>
                <w:sz w:val="18"/>
                <w:szCs w:val="20"/>
              </w:rPr>
              <w:t>91</w:t>
            </w:r>
          </w:p>
        </w:tc>
        <w:tc>
          <w:tcPr>
            <w:tcW w:w="567" w:type="dxa"/>
            <w:gridSpan w:val="2"/>
          </w:tcPr>
          <w:p w:rsidR="00000000" w:rsidRDefault="00D35856">
            <w:pPr>
              <w:keepNext w:val="0"/>
              <w:widowControl w:val="0"/>
              <w:spacing w:after="0"/>
              <w:jc w:val="right"/>
              <w:rPr>
                <w:rFonts w:ascii="Arial" w:hAnsi="Arial" w:cs="Arial"/>
                <w:sz w:val="18"/>
                <w:szCs w:val="20"/>
              </w:rPr>
            </w:pPr>
            <w:r>
              <w:rPr>
                <w:rFonts w:ascii="Arial" w:hAnsi="Arial" w:cs="Arial"/>
                <w:sz w:val="18"/>
                <w:szCs w:val="20"/>
              </w:rPr>
              <w:t>65</w:t>
            </w:r>
          </w:p>
        </w:tc>
        <w:tc>
          <w:tcPr>
            <w:tcW w:w="709" w:type="dxa"/>
            <w:gridSpan w:val="2"/>
          </w:tcPr>
          <w:p w:rsidR="00000000" w:rsidRDefault="00D35856">
            <w:pPr>
              <w:keepNext w:val="0"/>
              <w:widowControl w:val="0"/>
              <w:spacing w:after="0"/>
              <w:jc w:val="right"/>
              <w:rPr>
                <w:rFonts w:ascii="Arial" w:hAnsi="Arial" w:cs="Arial"/>
                <w:sz w:val="18"/>
                <w:szCs w:val="20"/>
              </w:rPr>
            </w:pPr>
            <w:r>
              <w:rPr>
                <w:rFonts w:ascii="Arial" w:hAnsi="Arial" w:cs="Arial"/>
                <w:sz w:val="18"/>
                <w:szCs w:val="20"/>
              </w:rPr>
              <w:t>139</w:t>
            </w:r>
          </w:p>
        </w:tc>
        <w:tc>
          <w:tcPr>
            <w:tcW w:w="850" w:type="dxa"/>
          </w:tcPr>
          <w:p w:rsidR="00000000" w:rsidRDefault="00D35856">
            <w:pPr>
              <w:keepNext w:val="0"/>
              <w:widowControl w:val="0"/>
              <w:spacing w:after="0"/>
              <w:jc w:val="right"/>
              <w:rPr>
                <w:rFonts w:ascii="Arial" w:hAnsi="Arial" w:cs="Arial"/>
                <w:sz w:val="18"/>
                <w:szCs w:val="20"/>
              </w:rPr>
            </w:pPr>
            <w:r>
              <w:rPr>
                <w:rFonts w:ascii="Arial" w:hAnsi="Arial" w:cs="Arial"/>
                <w:sz w:val="18"/>
                <w:szCs w:val="20"/>
              </w:rPr>
              <w:t>0</w:t>
            </w:r>
          </w:p>
        </w:tc>
        <w:tc>
          <w:tcPr>
            <w:tcW w:w="992" w:type="dxa"/>
          </w:tcPr>
          <w:p w:rsidR="00000000" w:rsidRDefault="00D35856">
            <w:pPr>
              <w:keepNext w:val="0"/>
              <w:widowControl w:val="0"/>
              <w:spacing w:after="0"/>
              <w:jc w:val="right"/>
              <w:rPr>
                <w:rFonts w:ascii="Arial" w:hAnsi="Arial" w:cs="Arial"/>
                <w:sz w:val="18"/>
              </w:rPr>
            </w:pPr>
          </w:p>
        </w:tc>
      </w:tr>
    </w:tbl>
    <w:p w:rsidR="00000000" w:rsidRDefault="00D35856">
      <w:pPr>
        <w:keepNext w:val="0"/>
        <w:widowControl w:val="0"/>
        <w:spacing w:after="0"/>
        <w:rPr>
          <w:sz w:val="16"/>
          <w:szCs w:val="16"/>
        </w:rPr>
      </w:pPr>
      <w:r>
        <w:rPr>
          <w:sz w:val="16"/>
          <w:szCs w:val="16"/>
        </w:rPr>
        <w:t xml:space="preserve">n/a: not applicable due to insufficient data points; highlighted areas indicate assumptions used for projections in this study (whether RIS assumptions or recorded observations over the initial period of </w:t>
      </w:r>
      <w:smartTag w:uri="urn:schemas-microsoft-com:office:smarttags" w:element="City">
        <w:r>
          <w:rPr>
            <w:sz w:val="16"/>
            <w:szCs w:val="16"/>
          </w:rPr>
          <w:t>WELS</w:t>
        </w:r>
      </w:smartTag>
      <w:r>
        <w:rPr>
          <w:sz w:val="16"/>
          <w:szCs w:val="16"/>
        </w:rPr>
        <w:t xml:space="preserve">).             </w:t>
      </w:r>
    </w:p>
    <w:p w:rsidR="00000000" w:rsidRDefault="00D35856">
      <w:pPr>
        <w:keepNext w:val="0"/>
        <w:widowControl w:val="0"/>
        <w:spacing w:after="0"/>
        <w:rPr>
          <w:sz w:val="16"/>
          <w:szCs w:val="16"/>
        </w:rPr>
      </w:pPr>
      <w:r>
        <w:rPr>
          <w:sz w:val="16"/>
          <w:szCs w:val="16"/>
          <w:vertAlign w:val="superscript"/>
        </w:rPr>
        <w:t>a</w:t>
      </w:r>
      <w:r>
        <w:rPr>
          <w:sz w:val="16"/>
          <w:szCs w:val="16"/>
        </w:rPr>
        <w:t xml:space="preserve"> Number of registrations that are singles, families, or sets of minor products.  </w:t>
      </w:r>
      <w:r>
        <w:rPr>
          <w:sz w:val="16"/>
          <w:szCs w:val="16"/>
          <w:vertAlign w:val="superscript"/>
        </w:rPr>
        <w:t>b</w:t>
      </w:r>
      <w:r>
        <w:rPr>
          <w:sz w:val="16"/>
          <w:szCs w:val="16"/>
        </w:rPr>
        <w:t xml:space="preserve"> Included flow controllers. See list of Abbreviations on page ix for acronyms.</w:t>
      </w:r>
    </w:p>
    <w:p w:rsidR="00000000" w:rsidRDefault="00D35856">
      <w:pPr>
        <w:pStyle w:val="Caption"/>
        <w:keepNext w:val="0"/>
      </w:pPr>
      <w:bookmarkStart w:id="152" w:name="_Ref188070587"/>
      <w:bookmarkStart w:id="153" w:name="_Toc191475267"/>
      <w:bookmarkStart w:id="154" w:name="_Toc199933830"/>
      <w:r>
        <w:t xml:space="preserve">Figure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Figure \* ARABIC \s 1 </w:instrText>
      </w:r>
      <w:r>
        <w:fldChar w:fldCharType="separate"/>
      </w:r>
      <w:r>
        <w:rPr>
          <w:noProof/>
        </w:rPr>
        <w:t>1</w:t>
      </w:r>
      <w:r>
        <w:fldChar w:fldCharType="end"/>
      </w:r>
      <w:bookmarkEnd w:id="152"/>
      <w:r>
        <w:t xml:space="preserve">: </w:t>
      </w:r>
      <w:smartTag w:uri="urn:schemas-microsoft-com:office:smarttags" w:element="City">
        <w:r>
          <w:t>WELS</w:t>
        </w:r>
      </w:smartTag>
      <w:r>
        <w:t xml:space="preserve"> cumulative registration numbers over time</w:t>
      </w:r>
      <w:bookmarkEnd w:id="153"/>
      <w:bookmarkEnd w:id="154"/>
    </w:p>
    <w:p w:rsidR="00000000" w:rsidRDefault="00D35856">
      <w:pPr>
        <w:keepNext w:val="0"/>
        <w:widowControl w:val="0"/>
        <w:jc w:val="center"/>
      </w:pPr>
      <w:r>
        <w:rPr>
          <w:noProof/>
          <w:lang w:eastAsia="en-AU"/>
        </w:rPr>
        <w:drawing>
          <wp:inline distT="0" distB="0" distL="0" distR="0">
            <wp:extent cx="5074920" cy="2971800"/>
            <wp:effectExtent l="19050" t="0" r="0" b="0"/>
            <wp:docPr id="24" name="Picture 24" descr="Fig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igure 4-1"/>
                    <pic:cNvPicPr>
                      <a:picLocks noChangeAspect="1" noChangeArrowheads="1"/>
                    </pic:cNvPicPr>
                  </pic:nvPicPr>
                  <pic:blipFill>
                    <a:blip r:embed="rId37"/>
                    <a:srcRect l="1215" t="12689" r="1215" b="1715"/>
                    <a:stretch>
                      <a:fillRect/>
                    </a:stretch>
                  </pic:blipFill>
                  <pic:spPr bwMode="auto">
                    <a:xfrm>
                      <a:off x="0" y="0"/>
                      <a:ext cx="5074920" cy="2971800"/>
                    </a:xfrm>
                    <a:prstGeom prst="rect">
                      <a:avLst/>
                    </a:prstGeom>
                    <a:noFill/>
                    <a:ln w="9525">
                      <a:noFill/>
                      <a:miter lim="800000"/>
                      <a:headEnd/>
                      <a:tailEnd/>
                    </a:ln>
                  </pic:spPr>
                </pic:pic>
              </a:graphicData>
            </a:graphic>
          </wp:inline>
        </w:drawing>
      </w:r>
    </w:p>
    <w:p w:rsidR="00000000" w:rsidRDefault="00D35856">
      <w:pPr>
        <w:pStyle w:val="Heading3"/>
        <w:keepNext w:val="0"/>
        <w:numPr>
          <w:ilvl w:val="2"/>
          <w:numId w:val="3"/>
        </w:numPr>
        <w:tabs>
          <w:tab w:val="clear" w:pos="1440"/>
        </w:tabs>
        <w:ind w:left="851" w:hanging="851"/>
        <w:rPr>
          <w:color w:val="auto"/>
        </w:rPr>
      </w:pPr>
      <w:bookmarkStart w:id="155" w:name="_Toc199933750"/>
      <w:r>
        <w:rPr>
          <w:color w:val="auto"/>
        </w:rPr>
        <w:lastRenderedPageBreak/>
        <w:t>Testing costs</w:t>
      </w:r>
      <w:bookmarkEnd w:id="155"/>
    </w:p>
    <w:p w:rsidR="00000000" w:rsidRDefault="00D35856">
      <w:pPr>
        <w:keepNext w:val="0"/>
        <w:widowControl w:val="0"/>
      </w:pPr>
      <w:smartTag w:uri="urn:schemas-microsoft-com:office:smarttags" w:element="City">
        <w:r>
          <w:t>WELS</w:t>
        </w:r>
      </w:smartTag>
      <w:r>
        <w:t xml:space="preserve"> requires testing of m</w:t>
      </w:r>
      <w:r>
        <w:t xml:space="preserve">odels in addition to that which is required or would have been undertaken due to other standards, regulations, programs or as part of the general process of model development. </w:t>
      </w:r>
    </w:p>
    <w:p w:rsidR="00000000" w:rsidRDefault="00D35856">
      <w:pPr>
        <w:keepNext w:val="0"/>
        <w:widowControl w:val="0"/>
      </w:pPr>
      <w:r>
        <w:t xml:space="preserve">Interviews conducted for this study revealed that not all testing is conducted </w:t>
      </w:r>
      <w:r>
        <w:t>by external laboratories. Manufacturers of clothes washers and dishwashers indicated that they operate their own laboratories as part of model testing and development, with a sample of models sent to external labs in order to calibrate and verify their own</w:t>
      </w:r>
      <w:r>
        <w:t xml:space="preserve"> internal testing processes. Some testing laboratories suggested that often the same model would be returned for testing several times, with minor changes each time, until the desired star rating is achieved. A proportion of toilets, particularly those sup</w:t>
      </w:r>
      <w:r>
        <w:t>plied by larger manufacturers, are also tested in-house as part of usual product development processes. However, it is likely that the majority of taps and showerheads are tested by external laboratories.</w:t>
      </w:r>
    </w:p>
    <w:p w:rsidR="00000000" w:rsidRDefault="00D35856">
      <w:pPr>
        <w:keepNext w:val="0"/>
        <w:widowControl w:val="0"/>
      </w:pPr>
      <w:r>
        <w:t>In the analysis of testing costs, it has been assum</w:t>
      </w:r>
      <w:r>
        <w:t xml:space="preserve">ed that only those models which are tested externally result in additional costs for suppliers. Although there may be some initial costs required to establish </w:t>
      </w:r>
      <w:smartTag w:uri="urn:schemas-microsoft-com:office:smarttags" w:element="City">
        <w:r>
          <w:t>WELS</w:t>
        </w:r>
      </w:smartTag>
      <w:r>
        <w:t xml:space="preserve"> testing processes in internal laboratories, </w:t>
      </w:r>
      <w:smartTag w:uri="urn:schemas-microsoft-com:office:smarttags" w:element="City">
        <w:r>
          <w:t>WELS</w:t>
        </w:r>
      </w:smartTag>
      <w:r>
        <w:t xml:space="preserve"> test requirements are unlikely </w:t>
      </w:r>
      <w:r>
        <w:t xml:space="preserve">to add significantly to the ongoing running costs of internal labs. </w:t>
      </w:r>
    </w:p>
    <w:p w:rsidR="00000000" w:rsidRDefault="00D35856">
      <w:pPr>
        <w:keepNext w:val="0"/>
        <w:widowControl w:val="0"/>
      </w:pPr>
      <w:r>
        <w:t xml:space="preserve">Estimates of the testing cost per model are provided in </w:t>
      </w:r>
      <w:fldSimple w:instr=" REF _Ref188071213 \h  \* MERGEFORMAT ">
        <w:r>
          <w:t xml:space="preserve">Table </w:t>
        </w:r>
        <w:r>
          <w:rPr>
            <w:noProof/>
          </w:rPr>
          <w:t>4</w:t>
        </w:r>
        <w:r>
          <w:rPr>
            <w:noProof/>
          </w:rPr>
          <w:noBreakHyphen/>
          <w:t>6</w:t>
        </w:r>
      </w:fldSimple>
      <w:r>
        <w:t>. Key difference</w:t>
      </w:r>
      <w:r>
        <w:t>s in assumptions from the 2004 RIS include:</w:t>
      </w:r>
    </w:p>
    <w:p w:rsidR="00000000" w:rsidRDefault="00D35856">
      <w:pPr>
        <w:keepNext w:val="0"/>
        <w:widowControl w:val="0"/>
        <w:numPr>
          <w:ilvl w:val="0"/>
          <w:numId w:val="6"/>
        </w:numPr>
      </w:pPr>
      <w:r>
        <w:t>The 2004 RIS assumed testing costs of $1500 per model across all other product types. However discussions with suppliers indicated that these were an overestimate of how much testing laboratories charged per te</w:t>
      </w:r>
      <w:r>
        <w:t>st per model, for plumbing products and sanitaryware.</w:t>
      </w:r>
    </w:p>
    <w:p w:rsidR="00000000" w:rsidRDefault="00D35856">
      <w:pPr>
        <w:keepNext w:val="0"/>
        <w:widowControl w:val="0"/>
        <w:numPr>
          <w:ilvl w:val="0"/>
          <w:numId w:val="6"/>
        </w:numPr>
      </w:pPr>
      <w:r>
        <w:t>The 2004 RIS assumed zero testing costs for clothes washing machines and dishwashers, additional to that which is already required by energy labelling schemes. However, industry participants and labor</w:t>
      </w:r>
      <w:r>
        <w:t>atories have reported that in practice, there are additional testing costs for clothes washing machines due to  the specific characteristics of water testing requirements.</w:t>
      </w:r>
    </w:p>
    <w:p w:rsidR="00000000" w:rsidRDefault="00D35856">
      <w:pPr>
        <w:keepNext w:val="0"/>
        <w:widowControl w:val="0"/>
      </w:pPr>
      <w:r>
        <w:t xml:space="preserve">Based on the testing costs provided in </w:t>
      </w:r>
      <w:fldSimple w:instr=" REF _Ref188071213 \h  \* MERGEFORMAT ">
        <w:r>
          <w:t xml:space="preserve">Table </w:t>
        </w:r>
        <w:r>
          <w:rPr>
            <w:noProof/>
          </w:rPr>
          <w:t>4</w:t>
        </w:r>
        <w:r>
          <w:rPr>
            <w:noProof/>
          </w:rPr>
          <w:noBreakHyphen/>
          <w:t>6</w:t>
        </w:r>
      </w:fldSimple>
      <w:r>
        <w:t xml:space="preserve"> and projections of registration numbers provided in </w:t>
      </w:r>
      <w:fldSimple w:instr=" REF _Ref188071223 \h  \* MERGEFORMAT ">
        <w:r>
          <w:t xml:space="preserve">Table </w:t>
        </w:r>
        <w:r>
          <w:rPr>
            <w:noProof/>
          </w:rPr>
          <w:t>4</w:t>
        </w:r>
        <w:r>
          <w:rPr>
            <w:noProof/>
          </w:rPr>
          <w:noBreakHyphen/>
          <w:t>7</w:t>
        </w:r>
      </w:fldSimple>
      <w:r>
        <w:t>, the NPV of testi</w:t>
      </w:r>
      <w:r>
        <w:t xml:space="preserve">ng costs associated with </w:t>
      </w:r>
      <w:smartTag w:uri="urn:schemas-microsoft-com:office:smarttags" w:element="City">
        <w:r>
          <w:t>WELS</w:t>
        </w:r>
      </w:smartTag>
      <w:r>
        <w:t xml:space="preserve"> to 2020</w:t>
      </w:r>
      <w:r>
        <w:noBreakHyphen/>
        <w:t>2021 are estimated at a total of $2m (7% discount rate). This estimate is an analysis of direct testing costs only, as industry stakeholders interviewed for this study did not report any specific issues or time</w:t>
      </w:r>
      <w:r>
        <w:t xml:space="preserve"> delays with dealing with external testing laboratories.</w:t>
      </w:r>
    </w:p>
    <w:p w:rsidR="00000000" w:rsidRDefault="00D35856">
      <w:pPr>
        <w:pStyle w:val="Caption"/>
        <w:keepNext w:val="0"/>
      </w:pPr>
      <w:bookmarkStart w:id="156" w:name="_Ref188071213"/>
      <w:bookmarkStart w:id="157" w:name="_Toc199933799"/>
      <w:r>
        <w:t xml:space="preserve">Table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Table \* ARABIC \s 1 </w:instrText>
      </w:r>
      <w:r>
        <w:fldChar w:fldCharType="separate"/>
      </w:r>
      <w:r>
        <w:rPr>
          <w:noProof/>
        </w:rPr>
        <w:t>6</w:t>
      </w:r>
      <w:r>
        <w:fldChar w:fldCharType="end"/>
      </w:r>
      <w:bookmarkEnd w:id="156"/>
      <w:r>
        <w:t>: Testing costs for equipment types</w:t>
      </w:r>
      <w:bookmarkEnd w:id="157"/>
    </w:p>
    <w:tbl>
      <w:tblPr>
        <w:tblStyle w:val="TableGrid"/>
        <w:tblW w:w="5000" w:type="pct"/>
        <w:tblLook w:val="01E0"/>
      </w:tblPr>
      <w:tblGrid>
        <w:gridCol w:w="1452"/>
        <w:gridCol w:w="1803"/>
        <w:gridCol w:w="870"/>
        <w:gridCol w:w="870"/>
        <w:gridCol w:w="870"/>
        <w:gridCol w:w="870"/>
        <w:gridCol w:w="1018"/>
        <w:gridCol w:w="859"/>
      </w:tblGrid>
      <w:tr w:rsidR="00000000">
        <w:trPr>
          <w:trHeight w:val="293"/>
        </w:trPr>
        <w:tc>
          <w:tcPr>
            <w:tcW w:w="843" w:type="pct"/>
            <w:shd w:val="clear" w:color="auto" w:fill="CCCCCC"/>
            <w:tcMar>
              <w:left w:w="57" w:type="dxa"/>
              <w:right w:w="57" w:type="dxa"/>
            </w:tcMar>
          </w:tcPr>
          <w:p w:rsidR="00000000" w:rsidRDefault="00D35856">
            <w:pPr>
              <w:keepNext w:val="0"/>
              <w:widowControl w:val="0"/>
              <w:spacing w:after="40"/>
              <w:rPr>
                <w:rFonts w:ascii="Arial" w:hAnsi="Arial" w:cs="Arial"/>
                <w:b/>
                <w:bCs/>
                <w:sz w:val="20"/>
                <w:szCs w:val="20"/>
              </w:rPr>
            </w:pPr>
          </w:p>
        </w:tc>
        <w:tc>
          <w:tcPr>
            <w:tcW w:w="1047" w:type="pct"/>
            <w:shd w:val="clear" w:color="auto" w:fill="CCCCCC"/>
            <w:tcMar>
              <w:left w:w="57" w:type="dxa"/>
              <w:right w:w="57" w:type="dxa"/>
            </w:tcMar>
          </w:tcPr>
          <w:p w:rsidR="00000000" w:rsidRDefault="00D35856">
            <w:pPr>
              <w:keepNext w:val="0"/>
              <w:widowControl w:val="0"/>
              <w:spacing w:after="40"/>
              <w:rPr>
                <w:rFonts w:ascii="Arial" w:hAnsi="Arial" w:cs="Arial"/>
                <w:b/>
                <w:bCs/>
                <w:sz w:val="20"/>
                <w:szCs w:val="20"/>
              </w:rPr>
            </w:pPr>
          </w:p>
        </w:tc>
        <w:tc>
          <w:tcPr>
            <w:tcW w:w="505" w:type="pct"/>
            <w:shd w:val="clear" w:color="auto" w:fill="CCCCCC"/>
            <w:tcMar>
              <w:left w:w="57" w:type="dxa"/>
              <w:right w:w="57" w:type="dxa"/>
            </w:tcMar>
          </w:tcPr>
          <w:p w:rsidR="00000000" w:rsidRDefault="00D35856">
            <w:pPr>
              <w:keepNext w:val="0"/>
              <w:widowControl w:val="0"/>
              <w:spacing w:after="40"/>
              <w:jc w:val="center"/>
              <w:rPr>
                <w:rFonts w:ascii="Arial" w:hAnsi="Arial" w:cs="Arial"/>
                <w:b/>
                <w:bCs/>
                <w:sz w:val="18"/>
                <w:szCs w:val="20"/>
              </w:rPr>
            </w:pPr>
            <w:r>
              <w:rPr>
                <w:rFonts w:ascii="Arial" w:hAnsi="Arial" w:cs="Arial"/>
                <w:b/>
                <w:bCs/>
                <w:sz w:val="18"/>
                <w:szCs w:val="20"/>
              </w:rPr>
              <w:t>CWM</w:t>
            </w:r>
          </w:p>
        </w:tc>
        <w:tc>
          <w:tcPr>
            <w:tcW w:w="505" w:type="pct"/>
            <w:shd w:val="clear" w:color="auto" w:fill="CCCCCC"/>
            <w:tcMar>
              <w:left w:w="57" w:type="dxa"/>
              <w:right w:w="57" w:type="dxa"/>
            </w:tcMar>
          </w:tcPr>
          <w:p w:rsidR="00000000" w:rsidRDefault="00D35856">
            <w:pPr>
              <w:keepNext w:val="0"/>
              <w:widowControl w:val="0"/>
              <w:spacing w:after="40"/>
              <w:jc w:val="center"/>
              <w:rPr>
                <w:rFonts w:ascii="Arial" w:hAnsi="Arial" w:cs="Arial"/>
                <w:b/>
                <w:bCs/>
                <w:sz w:val="18"/>
                <w:szCs w:val="20"/>
              </w:rPr>
            </w:pPr>
            <w:r>
              <w:rPr>
                <w:rFonts w:ascii="Arial" w:hAnsi="Arial" w:cs="Arial"/>
                <w:b/>
                <w:bCs/>
                <w:sz w:val="18"/>
                <w:szCs w:val="20"/>
              </w:rPr>
              <w:t>DWM</w:t>
            </w:r>
          </w:p>
        </w:tc>
        <w:tc>
          <w:tcPr>
            <w:tcW w:w="505" w:type="pct"/>
            <w:shd w:val="clear" w:color="auto" w:fill="CCCCCC"/>
            <w:tcMar>
              <w:left w:w="57" w:type="dxa"/>
              <w:right w:w="57" w:type="dxa"/>
            </w:tcMar>
          </w:tcPr>
          <w:p w:rsidR="00000000" w:rsidRDefault="00D35856">
            <w:pPr>
              <w:keepNext w:val="0"/>
              <w:widowControl w:val="0"/>
              <w:spacing w:after="40"/>
              <w:jc w:val="center"/>
              <w:rPr>
                <w:rFonts w:ascii="Arial" w:hAnsi="Arial" w:cs="Arial"/>
                <w:b/>
                <w:bCs/>
                <w:sz w:val="18"/>
                <w:szCs w:val="20"/>
              </w:rPr>
            </w:pPr>
            <w:r>
              <w:rPr>
                <w:rFonts w:ascii="Arial" w:hAnsi="Arial" w:cs="Arial"/>
                <w:b/>
                <w:bCs/>
                <w:sz w:val="18"/>
                <w:szCs w:val="20"/>
              </w:rPr>
              <w:t>LE</w:t>
            </w:r>
          </w:p>
        </w:tc>
        <w:tc>
          <w:tcPr>
            <w:tcW w:w="505" w:type="pct"/>
            <w:shd w:val="clear" w:color="auto" w:fill="CCCCCC"/>
            <w:tcMar>
              <w:left w:w="57" w:type="dxa"/>
              <w:right w:w="57" w:type="dxa"/>
            </w:tcMar>
          </w:tcPr>
          <w:p w:rsidR="00000000" w:rsidRDefault="00D35856">
            <w:pPr>
              <w:keepNext w:val="0"/>
              <w:widowControl w:val="0"/>
              <w:spacing w:after="40"/>
              <w:jc w:val="center"/>
              <w:rPr>
                <w:rFonts w:ascii="Arial" w:hAnsi="Arial" w:cs="Arial"/>
                <w:b/>
                <w:bCs/>
                <w:sz w:val="18"/>
                <w:szCs w:val="20"/>
              </w:rPr>
            </w:pPr>
            <w:r>
              <w:rPr>
                <w:rFonts w:ascii="Arial" w:hAnsi="Arial" w:cs="Arial"/>
                <w:b/>
                <w:bCs/>
                <w:sz w:val="18"/>
                <w:szCs w:val="20"/>
              </w:rPr>
              <w:t>S</w:t>
            </w:r>
          </w:p>
        </w:tc>
        <w:tc>
          <w:tcPr>
            <w:tcW w:w="591" w:type="pct"/>
            <w:shd w:val="clear" w:color="auto" w:fill="CCCCCC"/>
            <w:tcMar>
              <w:left w:w="57" w:type="dxa"/>
              <w:right w:w="57" w:type="dxa"/>
            </w:tcMar>
          </w:tcPr>
          <w:p w:rsidR="00000000" w:rsidRDefault="00D35856">
            <w:pPr>
              <w:keepNext w:val="0"/>
              <w:widowControl w:val="0"/>
              <w:spacing w:after="40"/>
              <w:jc w:val="center"/>
              <w:rPr>
                <w:rFonts w:ascii="Arial" w:hAnsi="Arial" w:cs="Arial"/>
                <w:b/>
                <w:bCs/>
                <w:sz w:val="18"/>
                <w:szCs w:val="20"/>
              </w:rPr>
            </w:pPr>
            <w:r>
              <w:rPr>
                <w:rFonts w:ascii="Arial" w:hAnsi="Arial" w:cs="Arial"/>
                <w:b/>
                <w:bCs/>
                <w:sz w:val="18"/>
                <w:szCs w:val="20"/>
              </w:rPr>
              <w:t>TE</w:t>
            </w:r>
          </w:p>
        </w:tc>
        <w:tc>
          <w:tcPr>
            <w:tcW w:w="499" w:type="pct"/>
            <w:shd w:val="clear" w:color="auto" w:fill="CCCCCC"/>
            <w:tcMar>
              <w:left w:w="57" w:type="dxa"/>
              <w:right w:w="57" w:type="dxa"/>
            </w:tcMar>
          </w:tcPr>
          <w:p w:rsidR="00000000" w:rsidRDefault="00D35856">
            <w:pPr>
              <w:keepNext w:val="0"/>
              <w:widowControl w:val="0"/>
              <w:spacing w:after="40"/>
              <w:jc w:val="center"/>
              <w:rPr>
                <w:rFonts w:ascii="Arial" w:hAnsi="Arial" w:cs="Arial"/>
                <w:b/>
                <w:bCs/>
                <w:sz w:val="18"/>
                <w:szCs w:val="20"/>
              </w:rPr>
            </w:pPr>
            <w:r>
              <w:rPr>
                <w:rFonts w:ascii="Arial" w:hAnsi="Arial" w:cs="Arial"/>
                <w:b/>
                <w:bCs/>
                <w:sz w:val="18"/>
                <w:szCs w:val="20"/>
              </w:rPr>
              <w:t>UE</w:t>
            </w:r>
          </w:p>
        </w:tc>
      </w:tr>
      <w:tr w:rsidR="00000000">
        <w:tc>
          <w:tcPr>
            <w:tcW w:w="843" w:type="pct"/>
          </w:tcPr>
          <w:p w:rsidR="00000000" w:rsidRDefault="00D35856">
            <w:pPr>
              <w:keepNext w:val="0"/>
              <w:widowControl w:val="0"/>
              <w:spacing w:after="40"/>
              <w:rPr>
                <w:rFonts w:ascii="Arial" w:hAnsi="Arial" w:cs="Arial"/>
                <w:sz w:val="18"/>
                <w:szCs w:val="18"/>
              </w:rPr>
            </w:pPr>
            <w:r>
              <w:rPr>
                <w:rFonts w:ascii="Arial" w:hAnsi="Arial" w:cs="Arial"/>
                <w:sz w:val="18"/>
                <w:szCs w:val="18"/>
              </w:rPr>
              <w:t>RIS assumptions</w:t>
            </w:r>
          </w:p>
        </w:tc>
        <w:tc>
          <w:tcPr>
            <w:tcW w:w="1047" w:type="pct"/>
          </w:tcPr>
          <w:p w:rsidR="00000000" w:rsidRDefault="00D35856">
            <w:pPr>
              <w:keepNext w:val="0"/>
              <w:widowControl w:val="0"/>
              <w:spacing w:after="40"/>
              <w:rPr>
                <w:rFonts w:ascii="Arial" w:hAnsi="Arial" w:cs="Arial"/>
                <w:sz w:val="18"/>
                <w:szCs w:val="18"/>
              </w:rPr>
            </w:pPr>
            <w:r>
              <w:rPr>
                <w:rFonts w:ascii="Arial" w:hAnsi="Arial" w:cs="Arial"/>
                <w:sz w:val="18"/>
                <w:szCs w:val="18"/>
              </w:rPr>
              <w:t>Additional testing costs $/model</w:t>
            </w:r>
          </w:p>
        </w:tc>
        <w:tc>
          <w:tcPr>
            <w:tcW w:w="505" w:type="pct"/>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$0</w:t>
            </w:r>
          </w:p>
        </w:tc>
        <w:tc>
          <w:tcPr>
            <w:tcW w:w="505" w:type="pct"/>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$0</w:t>
            </w:r>
          </w:p>
        </w:tc>
        <w:tc>
          <w:tcPr>
            <w:tcW w:w="505" w:type="pct"/>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$1500</w:t>
            </w:r>
          </w:p>
        </w:tc>
        <w:tc>
          <w:tcPr>
            <w:tcW w:w="505" w:type="pct"/>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$1500</w:t>
            </w:r>
          </w:p>
        </w:tc>
        <w:tc>
          <w:tcPr>
            <w:tcW w:w="591" w:type="pct"/>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$1500</w:t>
            </w:r>
          </w:p>
        </w:tc>
        <w:tc>
          <w:tcPr>
            <w:tcW w:w="499" w:type="pct"/>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$1500</w:t>
            </w:r>
          </w:p>
        </w:tc>
      </w:tr>
      <w:tr w:rsidR="00000000">
        <w:tc>
          <w:tcPr>
            <w:tcW w:w="843" w:type="pct"/>
            <w:vMerge w:val="restart"/>
          </w:tcPr>
          <w:p w:rsidR="00000000" w:rsidRDefault="00D35856">
            <w:pPr>
              <w:keepNext w:val="0"/>
              <w:widowControl w:val="0"/>
              <w:spacing w:after="40"/>
              <w:rPr>
                <w:rFonts w:ascii="Arial" w:hAnsi="Arial" w:cs="Arial"/>
                <w:sz w:val="18"/>
                <w:szCs w:val="18"/>
              </w:rPr>
            </w:pPr>
            <w:r>
              <w:rPr>
                <w:rFonts w:ascii="Arial" w:hAnsi="Arial" w:cs="Arial"/>
                <w:sz w:val="18"/>
                <w:szCs w:val="18"/>
              </w:rPr>
              <w:t>Estimates used in this study</w:t>
            </w:r>
          </w:p>
        </w:tc>
        <w:tc>
          <w:tcPr>
            <w:tcW w:w="1047" w:type="pct"/>
          </w:tcPr>
          <w:p w:rsidR="00000000" w:rsidRDefault="00D35856">
            <w:pPr>
              <w:keepNext w:val="0"/>
              <w:widowControl w:val="0"/>
              <w:spacing w:after="40"/>
              <w:rPr>
                <w:rFonts w:ascii="Arial" w:hAnsi="Arial" w:cs="Arial"/>
                <w:sz w:val="18"/>
                <w:szCs w:val="18"/>
              </w:rPr>
            </w:pPr>
            <w:r>
              <w:rPr>
                <w:rFonts w:ascii="Arial" w:hAnsi="Arial" w:cs="Arial"/>
                <w:sz w:val="18"/>
                <w:szCs w:val="18"/>
              </w:rPr>
              <w:t xml:space="preserve">Testing costs – external </w:t>
            </w:r>
          </w:p>
        </w:tc>
        <w:tc>
          <w:tcPr>
            <w:tcW w:w="505" w:type="pct"/>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$3000</w:t>
            </w:r>
          </w:p>
        </w:tc>
        <w:tc>
          <w:tcPr>
            <w:tcW w:w="505" w:type="pct"/>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$0</w:t>
            </w:r>
          </w:p>
        </w:tc>
        <w:tc>
          <w:tcPr>
            <w:tcW w:w="505" w:type="pct"/>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$800</w:t>
            </w:r>
          </w:p>
        </w:tc>
        <w:tc>
          <w:tcPr>
            <w:tcW w:w="505" w:type="pct"/>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$500</w:t>
            </w:r>
          </w:p>
        </w:tc>
        <w:tc>
          <w:tcPr>
            <w:tcW w:w="591" w:type="pct"/>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$500</w:t>
            </w:r>
          </w:p>
        </w:tc>
        <w:tc>
          <w:tcPr>
            <w:tcW w:w="499" w:type="pct"/>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$800</w:t>
            </w:r>
          </w:p>
        </w:tc>
      </w:tr>
      <w:tr w:rsidR="00000000">
        <w:tc>
          <w:tcPr>
            <w:tcW w:w="843" w:type="pct"/>
            <w:vMerge/>
          </w:tcPr>
          <w:p w:rsidR="00000000" w:rsidRDefault="00D35856">
            <w:pPr>
              <w:keepNext w:val="0"/>
              <w:widowControl w:val="0"/>
              <w:spacing w:after="40"/>
              <w:rPr>
                <w:rFonts w:ascii="Arial" w:hAnsi="Arial" w:cs="Arial"/>
                <w:sz w:val="18"/>
                <w:szCs w:val="18"/>
              </w:rPr>
            </w:pPr>
          </w:p>
        </w:tc>
        <w:tc>
          <w:tcPr>
            <w:tcW w:w="1047" w:type="pct"/>
          </w:tcPr>
          <w:p w:rsidR="00000000" w:rsidRDefault="00D35856">
            <w:pPr>
              <w:keepNext w:val="0"/>
              <w:widowControl w:val="0"/>
              <w:spacing w:after="40"/>
              <w:rPr>
                <w:rFonts w:ascii="Arial" w:hAnsi="Arial" w:cs="Arial"/>
                <w:sz w:val="18"/>
                <w:szCs w:val="18"/>
              </w:rPr>
            </w:pPr>
            <w:r>
              <w:rPr>
                <w:rFonts w:ascii="Arial" w:hAnsi="Arial" w:cs="Arial"/>
                <w:sz w:val="18"/>
                <w:szCs w:val="18"/>
              </w:rPr>
              <w:t>% of models tested externally</w:t>
            </w:r>
          </w:p>
        </w:tc>
        <w:tc>
          <w:tcPr>
            <w:tcW w:w="505" w:type="pct"/>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50%</w:t>
            </w:r>
          </w:p>
        </w:tc>
        <w:tc>
          <w:tcPr>
            <w:tcW w:w="505" w:type="pct"/>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50%</w:t>
            </w:r>
          </w:p>
        </w:tc>
        <w:tc>
          <w:tcPr>
            <w:tcW w:w="505" w:type="pct"/>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70%</w:t>
            </w:r>
          </w:p>
        </w:tc>
        <w:tc>
          <w:tcPr>
            <w:tcW w:w="505" w:type="pct"/>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100%</w:t>
            </w:r>
          </w:p>
        </w:tc>
        <w:tc>
          <w:tcPr>
            <w:tcW w:w="591" w:type="pct"/>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100%</w:t>
            </w:r>
          </w:p>
        </w:tc>
        <w:tc>
          <w:tcPr>
            <w:tcW w:w="499" w:type="pct"/>
          </w:tcPr>
          <w:p w:rsidR="00000000" w:rsidRDefault="00D35856">
            <w:pPr>
              <w:keepNext w:val="0"/>
              <w:widowControl w:val="0"/>
              <w:spacing w:after="40"/>
              <w:jc w:val="right"/>
              <w:rPr>
                <w:rFonts w:ascii="Arial" w:hAnsi="Arial" w:cs="Arial"/>
                <w:sz w:val="18"/>
                <w:szCs w:val="18"/>
              </w:rPr>
            </w:pPr>
            <w:r>
              <w:rPr>
                <w:rFonts w:ascii="Arial" w:hAnsi="Arial" w:cs="Arial"/>
                <w:sz w:val="18"/>
                <w:szCs w:val="18"/>
              </w:rPr>
              <w:t>100%</w:t>
            </w:r>
          </w:p>
        </w:tc>
      </w:tr>
    </w:tbl>
    <w:p w:rsidR="00000000" w:rsidRDefault="00D35856">
      <w:pPr>
        <w:keepNext w:val="0"/>
        <w:widowControl w:val="0"/>
        <w:spacing w:after="40"/>
      </w:pPr>
      <w:r>
        <w:rPr>
          <w:sz w:val="18"/>
          <w:szCs w:val="18"/>
        </w:rPr>
        <w:t>See list of Abbreviations on page ix for acronyms.</w:t>
      </w:r>
    </w:p>
    <w:p w:rsidR="00000000" w:rsidRDefault="00D35856">
      <w:pPr>
        <w:pStyle w:val="Caption"/>
        <w:keepNext w:val="0"/>
        <w:pageBreakBefore/>
      </w:pPr>
      <w:bookmarkStart w:id="158" w:name="_Ref188071223"/>
      <w:bookmarkStart w:id="159" w:name="_Toc199933800"/>
      <w:r>
        <w:lastRenderedPageBreak/>
        <w:t xml:space="preserve">Table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Table \* ARABIC \s 1 </w:instrText>
      </w:r>
      <w:r>
        <w:fldChar w:fldCharType="separate"/>
      </w:r>
      <w:r>
        <w:rPr>
          <w:noProof/>
        </w:rPr>
        <w:t>7</w:t>
      </w:r>
      <w:r>
        <w:fldChar w:fldCharType="end"/>
      </w:r>
      <w:bookmarkEnd w:id="158"/>
      <w:r>
        <w:t>: Projected costs associated with testing (NPV at 1.6%, 3.5% and 7% discount rates)</w:t>
      </w:r>
      <w:bookmarkEnd w:id="159"/>
    </w:p>
    <w:tbl>
      <w:tblPr>
        <w:tblStyle w:val="TableGrid"/>
        <w:tblW w:w="4965" w:type="pct"/>
        <w:tblLayout w:type="fixed"/>
        <w:tblLook w:val="01E0"/>
      </w:tblPr>
      <w:tblGrid>
        <w:gridCol w:w="2562"/>
        <w:gridCol w:w="701"/>
        <w:gridCol w:w="756"/>
        <w:gridCol w:w="756"/>
        <w:gridCol w:w="756"/>
        <w:gridCol w:w="756"/>
        <w:gridCol w:w="756"/>
        <w:gridCol w:w="756"/>
        <w:gridCol w:w="753"/>
      </w:tblGrid>
      <w:tr w:rsidR="00000000">
        <w:trPr>
          <w:trHeight w:val="407"/>
        </w:trPr>
        <w:tc>
          <w:tcPr>
            <w:tcW w:w="1498" w:type="pct"/>
            <w:tcBorders>
              <w:right w:val="nil"/>
            </w:tcBorders>
            <w:shd w:val="clear" w:color="auto" w:fill="CCCCCC"/>
            <w:tcMar>
              <w:left w:w="57" w:type="dxa"/>
              <w:right w:w="57" w:type="dxa"/>
            </w:tcMar>
          </w:tcPr>
          <w:p w:rsidR="00000000" w:rsidRDefault="00D35856">
            <w:pPr>
              <w:keepNext w:val="0"/>
              <w:widowControl w:val="0"/>
              <w:spacing w:after="40"/>
              <w:rPr>
                <w:rFonts w:ascii="Arial" w:hAnsi="Arial" w:cs="Arial"/>
                <w:b/>
                <w:bCs/>
                <w:sz w:val="20"/>
                <w:szCs w:val="20"/>
              </w:rPr>
            </w:pPr>
            <w:r>
              <w:rPr>
                <w:rFonts w:ascii="Arial" w:hAnsi="Arial" w:cs="Arial"/>
                <w:b/>
                <w:bCs/>
                <w:sz w:val="20"/>
                <w:szCs w:val="20"/>
              </w:rPr>
              <w:t>NPV ($000) to</w:t>
            </w:r>
            <w:r>
              <w:rPr>
                <w:rFonts w:ascii="Arial" w:hAnsi="Arial" w:cs="Arial"/>
                <w:b/>
                <w:bCs/>
                <w:sz w:val="20"/>
                <w:szCs w:val="20"/>
              </w:rPr>
              <w:t>tal</w:t>
            </w:r>
          </w:p>
        </w:tc>
        <w:tc>
          <w:tcPr>
            <w:tcW w:w="410" w:type="pct"/>
            <w:tcBorders>
              <w:left w:val="nil"/>
            </w:tcBorders>
            <w:shd w:val="clear" w:color="auto" w:fill="CCCCCC"/>
            <w:tcMar>
              <w:left w:w="57" w:type="dxa"/>
              <w:right w:w="57" w:type="dxa"/>
            </w:tcMar>
          </w:tcPr>
          <w:p w:rsidR="00000000" w:rsidRDefault="00D35856">
            <w:pPr>
              <w:keepNext w:val="0"/>
              <w:widowControl w:val="0"/>
              <w:spacing w:after="40"/>
              <w:rPr>
                <w:rFonts w:ascii="Arial" w:hAnsi="Arial" w:cs="Arial"/>
                <w:b/>
                <w:bCs/>
                <w:sz w:val="18"/>
                <w:szCs w:val="18"/>
              </w:rPr>
            </w:pPr>
          </w:p>
        </w:tc>
        <w:tc>
          <w:tcPr>
            <w:tcW w:w="442" w:type="pct"/>
            <w:shd w:val="clear" w:color="auto" w:fill="CCCCCC"/>
            <w:tcMar>
              <w:left w:w="57" w:type="dxa"/>
              <w:right w:w="57" w:type="dxa"/>
            </w:tcMar>
          </w:tcPr>
          <w:p w:rsidR="00000000" w:rsidRDefault="00D35856">
            <w:pPr>
              <w:keepNext w:val="0"/>
              <w:widowControl w:val="0"/>
              <w:spacing w:after="40"/>
              <w:jc w:val="center"/>
              <w:rPr>
                <w:rFonts w:ascii="Arial" w:hAnsi="Arial" w:cs="Arial"/>
                <w:b/>
                <w:bCs/>
                <w:sz w:val="18"/>
                <w:szCs w:val="20"/>
              </w:rPr>
            </w:pPr>
            <w:r>
              <w:rPr>
                <w:rFonts w:ascii="Arial" w:hAnsi="Arial" w:cs="Arial"/>
                <w:b/>
                <w:bCs/>
                <w:sz w:val="18"/>
                <w:szCs w:val="20"/>
              </w:rPr>
              <w:t>CWM</w:t>
            </w:r>
          </w:p>
        </w:tc>
        <w:tc>
          <w:tcPr>
            <w:tcW w:w="442" w:type="pct"/>
            <w:shd w:val="clear" w:color="auto" w:fill="CCCCCC"/>
            <w:tcMar>
              <w:left w:w="57" w:type="dxa"/>
              <w:right w:w="57" w:type="dxa"/>
            </w:tcMar>
          </w:tcPr>
          <w:p w:rsidR="00000000" w:rsidRDefault="00D35856">
            <w:pPr>
              <w:keepNext w:val="0"/>
              <w:widowControl w:val="0"/>
              <w:spacing w:after="40"/>
              <w:jc w:val="center"/>
              <w:rPr>
                <w:rFonts w:ascii="Arial" w:hAnsi="Arial" w:cs="Arial"/>
                <w:b/>
                <w:bCs/>
                <w:sz w:val="18"/>
                <w:szCs w:val="20"/>
              </w:rPr>
            </w:pPr>
            <w:r>
              <w:rPr>
                <w:rFonts w:ascii="Arial" w:hAnsi="Arial" w:cs="Arial"/>
                <w:b/>
                <w:bCs/>
                <w:sz w:val="18"/>
                <w:szCs w:val="20"/>
              </w:rPr>
              <w:t>DWM</w:t>
            </w:r>
          </w:p>
        </w:tc>
        <w:tc>
          <w:tcPr>
            <w:tcW w:w="442" w:type="pct"/>
            <w:shd w:val="clear" w:color="auto" w:fill="CCCCCC"/>
            <w:tcMar>
              <w:left w:w="57" w:type="dxa"/>
              <w:right w:w="57" w:type="dxa"/>
            </w:tcMar>
          </w:tcPr>
          <w:p w:rsidR="00000000" w:rsidRDefault="00D35856">
            <w:pPr>
              <w:keepNext w:val="0"/>
              <w:widowControl w:val="0"/>
              <w:spacing w:after="40"/>
              <w:jc w:val="center"/>
              <w:rPr>
                <w:rFonts w:ascii="Arial" w:hAnsi="Arial" w:cs="Arial"/>
                <w:b/>
                <w:bCs/>
                <w:sz w:val="18"/>
                <w:szCs w:val="20"/>
              </w:rPr>
            </w:pPr>
            <w:r>
              <w:rPr>
                <w:rFonts w:ascii="Arial" w:hAnsi="Arial" w:cs="Arial"/>
                <w:b/>
                <w:bCs/>
                <w:sz w:val="18"/>
                <w:szCs w:val="20"/>
              </w:rPr>
              <w:t>LE</w:t>
            </w:r>
          </w:p>
        </w:tc>
        <w:tc>
          <w:tcPr>
            <w:tcW w:w="442" w:type="pct"/>
            <w:shd w:val="clear" w:color="auto" w:fill="CCCCCC"/>
            <w:tcMar>
              <w:left w:w="57" w:type="dxa"/>
              <w:right w:w="57" w:type="dxa"/>
            </w:tcMar>
          </w:tcPr>
          <w:p w:rsidR="00000000" w:rsidRDefault="00D35856">
            <w:pPr>
              <w:keepNext w:val="0"/>
              <w:widowControl w:val="0"/>
              <w:spacing w:after="40"/>
              <w:jc w:val="center"/>
              <w:rPr>
                <w:rFonts w:ascii="Arial" w:hAnsi="Arial" w:cs="Arial"/>
                <w:b/>
                <w:bCs/>
                <w:sz w:val="18"/>
                <w:szCs w:val="20"/>
              </w:rPr>
            </w:pPr>
            <w:r>
              <w:rPr>
                <w:rFonts w:ascii="Arial" w:hAnsi="Arial" w:cs="Arial"/>
                <w:b/>
                <w:bCs/>
                <w:sz w:val="18"/>
                <w:szCs w:val="20"/>
              </w:rPr>
              <w:t>S</w:t>
            </w:r>
          </w:p>
        </w:tc>
        <w:tc>
          <w:tcPr>
            <w:tcW w:w="442" w:type="pct"/>
            <w:shd w:val="clear" w:color="auto" w:fill="CCCCCC"/>
            <w:tcMar>
              <w:left w:w="57" w:type="dxa"/>
              <w:right w:w="57" w:type="dxa"/>
            </w:tcMar>
          </w:tcPr>
          <w:p w:rsidR="00000000" w:rsidRDefault="00D35856">
            <w:pPr>
              <w:keepNext w:val="0"/>
              <w:widowControl w:val="0"/>
              <w:spacing w:after="40"/>
              <w:jc w:val="center"/>
              <w:rPr>
                <w:rFonts w:ascii="Arial" w:hAnsi="Arial" w:cs="Arial"/>
                <w:b/>
                <w:bCs/>
                <w:sz w:val="18"/>
                <w:szCs w:val="20"/>
              </w:rPr>
            </w:pPr>
            <w:r>
              <w:rPr>
                <w:rFonts w:ascii="Arial" w:hAnsi="Arial" w:cs="Arial"/>
                <w:b/>
                <w:bCs/>
                <w:sz w:val="18"/>
                <w:szCs w:val="20"/>
              </w:rPr>
              <w:t>TE</w:t>
            </w:r>
          </w:p>
        </w:tc>
        <w:tc>
          <w:tcPr>
            <w:tcW w:w="442" w:type="pct"/>
            <w:shd w:val="clear" w:color="auto" w:fill="CCCCCC"/>
            <w:tcMar>
              <w:left w:w="57" w:type="dxa"/>
              <w:right w:w="57" w:type="dxa"/>
            </w:tcMar>
          </w:tcPr>
          <w:p w:rsidR="00000000" w:rsidRDefault="00D35856">
            <w:pPr>
              <w:keepNext w:val="0"/>
              <w:widowControl w:val="0"/>
              <w:spacing w:after="40"/>
              <w:jc w:val="center"/>
              <w:rPr>
                <w:rFonts w:ascii="Arial" w:hAnsi="Arial" w:cs="Arial"/>
                <w:b/>
                <w:bCs/>
                <w:sz w:val="18"/>
                <w:szCs w:val="20"/>
              </w:rPr>
            </w:pPr>
            <w:r>
              <w:rPr>
                <w:rFonts w:ascii="Arial" w:hAnsi="Arial" w:cs="Arial"/>
                <w:b/>
                <w:bCs/>
                <w:sz w:val="18"/>
                <w:szCs w:val="20"/>
              </w:rPr>
              <w:t>UE</w:t>
            </w:r>
          </w:p>
        </w:tc>
        <w:tc>
          <w:tcPr>
            <w:tcW w:w="440" w:type="pct"/>
            <w:shd w:val="clear" w:color="auto" w:fill="CCCCCC"/>
            <w:tcMar>
              <w:left w:w="57" w:type="dxa"/>
              <w:right w:w="57" w:type="dxa"/>
            </w:tcMar>
          </w:tcPr>
          <w:p w:rsidR="00000000" w:rsidRDefault="00D35856">
            <w:pPr>
              <w:keepNext w:val="0"/>
              <w:widowControl w:val="0"/>
              <w:spacing w:after="40"/>
              <w:jc w:val="center"/>
              <w:rPr>
                <w:rFonts w:ascii="Arial" w:hAnsi="Arial" w:cs="Arial"/>
                <w:b/>
                <w:bCs/>
                <w:sz w:val="18"/>
                <w:szCs w:val="20"/>
              </w:rPr>
            </w:pPr>
            <w:r>
              <w:rPr>
                <w:rFonts w:ascii="Arial" w:hAnsi="Arial" w:cs="Arial"/>
                <w:b/>
                <w:bCs/>
                <w:sz w:val="18"/>
                <w:szCs w:val="20"/>
              </w:rPr>
              <w:t>Total</w:t>
            </w:r>
          </w:p>
        </w:tc>
      </w:tr>
      <w:tr w:rsidR="00000000">
        <w:tc>
          <w:tcPr>
            <w:tcW w:w="1498" w:type="pct"/>
            <w:tcBorders>
              <w:right w:val="nil"/>
            </w:tcBorders>
            <w:tcMar>
              <w:left w:w="57" w:type="dxa"/>
              <w:right w:w="57" w:type="dxa"/>
            </w:tcMar>
            <w:vAlign w:val="center"/>
          </w:tcPr>
          <w:p w:rsidR="00000000" w:rsidRDefault="00D35856">
            <w:pPr>
              <w:keepNext w:val="0"/>
              <w:widowControl w:val="0"/>
              <w:spacing w:before="20" w:after="20"/>
              <w:rPr>
                <w:rFonts w:ascii="Arial" w:hAnsi="Arial" w:cs="Arial"/>
                <w:sz w:val="18"/>
                <w:szCs w:val="18"/>
              </w:rPr>
            </w:pPr>
            <w:r>
              <w:rPr>
                <w:rFonts w:ascii="Arial" w:hAnsi="Arial" w:cs="Arial"/>
                <w:sz w:val="18"/>
                <w:szCs w:val="18"/>
              </w:rPr>
              <w:t>Costs to 2005 to Nov 2007 based on actual registration numbers</w:t>
            </w:r>
          </w:p>
        </w:tc>
        <w:tc>
          <w:tcPr>
            <w:tcW w:w="410" w:type="pct"/>
            <w:tcBorders>
              <w:left w:val="nil"/>
            </w:tcBorders>
            <w:tcMar>
              <w:left w:w="57" w:type="dxa"/>
              <w:right w:w="57" w:type="dxa"/>
            </w:tcMar>
            <w:vAlign w:val="center"/>
          </w:tcPr>
          <w:p w:rsidR="00000000" w:rsidRDefault="00D35856">
            <w:pPr>
              <w:keepNext w:val="0"/>
              <w:widowControl w:val="0"/>
              <w:spacing w:before="20" w:after="20"/>
              <w:rPr>
                <w:rFonts w:ascii="Arial" w:hAnsi="Arial" w:cs="Arial"/>
                <w:sz w:val="18"/>
                <w:szCs w:val="18"/>
              </w:rPr>
            </w:pP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$354</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$0</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$73</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$127</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$230</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$30</w:t>
            </w:r>
          </w:p>
        </w:tc>
        <w:tc>
          <w:tcPr>
            <w:tcW w:w="440" w:type="pct"/>
            <w:tcMar>
              <w:left w:w="57" w:type="dxa"/>
              <w:right w:w="57" w:type="dxa"/>
            </w:tcMar>
            <w:vAlign w:val="center"/>
          </w:tcPr>
          <w:p w:rsidR="00000000" w:rsidRDefault="00D35856">
            <w:pPr>
              <w:keepNext w:val="0"/>
              <w:widowControl w:val="0"/>
              <w:spacing w:before="20" w:after="20"/>
              <w:jc w:val="right"/>
              <w:rPr>
                <w:rFonts w:ascii="Arial" w:hAnsi="Arial" w:cs="Arial"/>
                <w:b/>
                <w:sz w:val="18"/>
                <w:szCs w:val="18"/>
              </w:rPr>
            </w:pPr>
            <w:r>
              <w:rPr>
                <w:rFonts w:ascii="Arial" w:hAnsi="Arial" w:cs="Arial"/>
                <w:b/>
                <w:sz w:val="18"/>
                <w:szCs w:val="18"/>
              </w:rPr>
              <w:t>$813</w:t>
            </w:r>
          </w:p>
        </w:tc>
      </w:tr>
      <w:tr w:rsidR="00000000">
        <w:tc>
          <w:tcPr>
            <w:tcW w:w="1498" w:type="pct"/>
            <w:tcBorders>
              <w:right w:val="nil"/>
            </w:tcBorders>
            <w:tcMar>
              <w:left w:w="57" w:type="dxa"/>
              <w:right w:w="57" w:type="dxa"/>
            </w:tcMar>
            <w:vAlign w:val="center"/>
          </w:tcPr>
          <w:p w:rsidR="00000000" w:rsidRDefault="00D35856">
            <w:pPr>
              <w:keepNext w:val="0"/>
              <w:widowControl w:val="0"/>
              <w:spacing w:before="20" w:after="20"/>
              <w:rPr>
                <w:rFonts w:ascii="Arial" w:hAnsi="Arial" w:cs="Arial"/>
                <w:sz w:val="6"/>
                <w:szCs w:val="6"/>
              </w:rPr>
            </w:pPr>
          </w:p>
        </w:tc>
        <w:tc>
          <w:tcPr>
            <w:tcW w:w="410" w:type="pct"/>
            <w:tcBorders>
              <w:left w:val="nil"/>
              <w:right w:val="nil"/>
            </w:tcBorders>
            <w:tcMar>
              <w:left w:w="57" w:type="dxa"/>
              <w:right w:w="57" w:type="dxa"/>
            </w:tcMar>
            <w:vAlign w:val="center"/>
          </w:tcPr>
          <w:p w:rsidR="00000000" w:rsidRDefault="00D35856">
            <w:pPr>
              <w:keepNext w:val="0"/>
              <w:widowControl w:val="0"/>
              <w:spacing w:before="20" w:after="20"/>
              <w:jc w:val="right"/>
              <w:rPr>
                <w:rFonts w:ascii="Arial" w:hAnsi="Arial" w:cs="Arial"/>
                <w:sz w:val="6"/>
                <w:szCs w:val="6"/>
              </w:rPr>
            </w:pPr>
          </w:p>
        </w:tc>
        <w:tc>
          <w:tcPr>
            <w:tcW w:w="442" w:type="pct"/>
            <w:tcBorders>
              <w:left w:val="nil"/>
              <w:right w:val="nil"/>
            </w:tcBorders>
            <w:tcMar>
              <w:left w:w="57" w:type="dxa"/>
              <w:right w:w="57" w:type="dxa"/>
            </w:tcMar>
            <w:vAlign w:val="center"/>
          </w:tcPr>
          <w:p w:rsidR="00000000" w:rsidRDefault="00D35856">
            <w:pPr>
              <w:keepNext w:val="0"/>
              <w:widowControl w:val="0"/>
              <w:spacing w:before="20" w:after="20"/>
              <w:jc w:val="right"/>
              <w:rPr>
                <w:rFonts w:ascii="Arial" w:hAnsi="Arial" w:cs="Arial"/>
                <w:sz w:val="6"/>
                <w:szCs w:val="6"/>
              </w:rPr>
            </w:pPr>
          </w:p>
        </w:tc>
        <w:tc>
          <w:tcPr>
            <w:tcW w:w="442" w:type="pct"/>
            <w:tcBorders>
              <w:left w:val="nil"/>
              <w:right w:val="nil"/>
            </w:tcBorders>
            <w:tcMar>
              <w:left w:w="57" w:type="dxa"/>
              <w:right w:w="57" w:type="dxa"/>
            </w:tcMar>
            <w:vAlign w:val="center"/>
          </w:tcPr>
          <w:p w:rsidR="00000000" w:rsidRDefault="00D35856">
            <w:pPr>
              <w:keepNext w:val="0"/>
              <w:widowControl w:val="0"/>
              <w:spacing w:before="20" w:after="20"/>
              <w:jc w:val="right"/>
              <w:rPr>
                <w:rFonts w:ascii="Arial" w:hAnsi="Arial" w:cs="Arial"/>
                <w:sz w:val="6"/>
                <w:szCs w:val="6"/>
              </w:rPr>
            </w:pPr>
          </w:p>
        </w:tc>
        <w:tc>
          <w:tcPr>
            <w:tcW w:w="442" w:type="pct"/>
            <w:tcBorders>
              <w:left w:val="nil"/>
              <w:right w:val="nil"/>
            </w:tcBorders>
            <w:tcMar>
              <w:left w:w="57" w:type="dxa"/>
              <w:right w:w="57" w:type="dxa"/>
            </w:tcMar>
            <w:vAlign w:val="center"/>
          </w:tcPr>
          <w:p w:rsidR="00000000" w:rsidRDefault="00D35856">
            <w:pPr>
              <w:keepNext w:val="0"/>
              <w:widowControl w:val="0"/>
              <w:spacing w:before="20" w:after="20"/>
              <w:jc w:val="right"/>
              <w:rPr>
                <w:rFonts w:ascii="Arial" w:hAnsi="Arial" w:cs="Arial"/>
                <w:sz w:val="6"/>
                <w:szCs w:val="6"/>
              </w:rPr>
            </w:pPr>
          </w:p>
        </w:tc>
        <w:tc>
          <w:tcPr>
            <w:tcW w:w="442" w:type="pct"/>
            <w:tcBorders>
              <w:left w:val="nil"/>
              <w:right w:val="nil"/>
            </w:tcBorders>
            <w:tcMar>
              <w:left w:w="57" w:type="dxa"/>
              <w:right w:w="57" w:type="dxa"/>
            </w:tcMar>
            <w:vAlign w:val="center"/>
          </w:tcPr>
          <w:p w:rsidR="00000000" w:rsidRDefault="00D35856">
            <w:pPr>
              <w:keepNext w:val="0"/>
              <w:widowControl w:val="0"/>
              <w:spacing w:before="20" w:after="20"/>
              <w:jc w:val="right"/>
              <w:rPr>
                <w:rFonts w:ascii="Arial" w:hAnsi="Arial" w:cs="Arial"/>
                <w:sz w:val="6"/>
                <w:szCs w:val="6"/>
              </w:rPr>
            </w:pPr>
          </w:p>
        </w:tc>
        <w:tc>
          <w:tcPr>
            <w:tcW w:w="442" w:type="pct"/>
            <w:tcBorders>
              <w:left w:val="nil"/>
              <w:right w:val="nil"/>
            </w:tcBorders>
            <w:tcMar>
              <w:left w:w="57" w:type="dxa"/>
              <w:right w:w="57" w:type="dxa"/>
            </w:tcMar>
            <w:vAlign w:val="center"/>
          </w:tcPr>
          <w:p w:rsidR="00000000" w:rsidRDefault="00D35856">
            <w:pPr>
              <w:keepNext w:val="0"/>
              <w:widowControl w:val="0"/>
              <w:spacing w:before="20" w:after="20"/>
              <w:jc w:val="right"/>
              <w:rPr>
                <w:rFonts w:ascii="Arial" w:hAnsi="Arial" w:cs="Arial"/>
                <w:sz w:val="6"/>
                <w:szCs w:val="6"/>
              </w:rPr>
            </w:pPr>
          </w:p>
        </w:tc>
        <w:tc>
          <w:tcPr>
            <w:tcW w:w="442" w:type="pct"/>
            <w:tcBorders>
              <w:left w:val="nil"/>
              <w:right w:val="nil"/>
            </w:tcBorders>
            <w:tcMar>
              <w:left w:w="57" w:type="dxa"/>
              <w:right w:w="57" w:type="dxa"/>
            </w:tcMar>
            <w:vAlign w:val="center"/>
          </w:tcPr>
          <w:p w:rsidR="00000000" w:rsidRDefault="00D35856">
            <w:pPr>
              <w:keepNext w:val="0"/>
              <w:widowControl w:val="0"/>
              <w:spacing w:before="20" w:after="20"/>
              <w:jc w:val="right"/>
              <w:rPr>
                <w:rFonts w:ascii="Arial" w:hAnsi="Arial" w:cs="Arial"/>
                <w:sz w:val="6"/>
                <w:szCs w:val="6"/>
              </w:rPr>
            </w:pPr>
          </w:p>
        </w:tc>
        <w:tc>
          <w:tcPr>
            <w:tcW w:w="440" w:type="pct"/>
            <w:tcBorders>
              <w:left w:val="nil"/>
            </w:tcBorders>
            <w:tcMar>
              <w:left w:w="57" w:type="dxa"/>
              <w:right w:w="57" w:type="dxa"/>
            </w:tcMar>
            <w:vAlign w:val="center"/>
          </w:tcPr>
          <w:p w:rsidR="00000000" w:rsidRDefault="00D35856">
            <w:pPr>
              <w:keepNext w:val="0"/>
              <w:widowControl w:val="0"/>
              <w:spacing w:before="20" w:after="20"/>
              <w:jc w:val="right"/>
              <w:rPr>
                <w:rFonts w:ascii="Arial" w:hAnsi="Arial" w:cs="Arial"/>
                <w:b/>
                <w:sz w:val="6"/>
                <w:szCs w:val="6"/>
              </w:rPr>
            </w:pPr>
          </w:p>
        </w:tc>
      </w:tr>
      <w:tr w:rsidR="00000000">
        <w:tc>
          <w:tcPr>
            <w:tcW w:w="1498" w:type="pct"/>
            <w:vMerge w:val="restart"/>
            <w:tcBorders>
              <w:right w:val="nil"/>
            </w:tcBorders>
            <w:tcMar>
              <w:left w:w="57" w:type="dxa"/>
              <w:right w:w="57" w:type="dxa"/>
            </w:tcMar>
          </w:tcPr>
          <w:p w:rsidR="00000000" w:rsidRDefault="00D35856">
            <w:pPr>
              <w:keepNext w:val="0"/>
              <w:widowControl w:val="0"/>
              <w:spacing w:before="20" w:after="20"/>
              <w:rPr>
                <w:rFonts w:ascii="Arial" w:hAnsi="Arial" w:cs="Arial"/>
                <w:sz w:val="18"/>
                <w:szCs w:val="18"/>
              </w:rPr>
            </w:pPr>
            <w:r>
              <w:rPr>
                <w:rFonts w:ascii="Arial" w:hAnsi="Arial" w:cs="Arial"/>
                <w:sz w:val="18"/>
                <w:szCs w:val="18"/>
              </w:rPr>
              <w:t> Costs from Dec 2007 to 2020—2021 based on projected registration numbers</w:t>
            </w:r>
          </w:p>
        </w:tc>
        <w:tc>
          <w:tcPr>
            <w:tcW w:w="410" w:type="pct"/>
            <w:tcBorders>
              <w:left w:val="nil"/>
              <w:bottom w:val="nil"/>
            </w:tcBorders>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1.6%</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$813</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$0</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$221</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$124</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$513</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$77</w:t>
            </w:r>
          </w:p>
        </w:tc>
        <w:tc>
          <w:tcPr>
            <w:tcW w:w="440" w:type="pct"/>
            <w:tcMar>
              <w:left w:w="57" w:type="dxa"/>
              <w:right w:w="57" w:type="dxa"/>
            </w:tcMar>
          </w:tcPr>
          <w:p w:rsidR="00000000" w:rsidRDefault="00D35856">
            <w:pPr>
              <w:keepNext w:val="0"/>
              <w:widowControl w:val="0"/>
              <w:spacing w:before="20" w:after="20"/>
              <w:jc w:val="right"/>
              <w:rPr>
                <w:rFonts w:ascii="Arial" w:hAnsi="Arial" w:cs="Arial"/>
                <w:b/>
                <w:sz w:val="18"/>
                <w:szCs w:val="18"/>
              </w:rPr>
            </w:pPr>
            <w:r>
              <w:rPr>
                <w:rFonts w:ascii="Arial" w:hAnsi="Arial" w:cs="Arial"/>
                <w:b/>
                <w:sz w:val="18"/>
                <w:szCs w:val="18"/>
              </w:rPr>
              <w:t>$1747</w:t>
            </w:r>
          </w:p>
        </w:tc>
      </w:tr>
      <w:tr w:rsidR="00000000">
        <w:tc>
          <w:tcPr>
            <w:tcW w:w="1498" w:type="pct"/>
            <w:vMerge/>
            <w:tcBorders>
              <w:right w:val="nil"/>
            </w:tcBorders>
            <w:tcMar>
              <w:left w:w="57" w:type="dxa"/>
              <w:right w:w="57" w:type="dxa"/>
            </w:tcMar>
            <w:vAlign w:val="center"/>
          </w:tcPr>
          <w:p w:rsidR="00000000" w:rsidRDefault="00D35856">
            <w:pPr>
              <w:keepNext w:val="0"/>
              <w:widowControl w:val="0"/>
              <w:spacing w:before="20" w:after="20"/>
              <w:rPr>
                <w:rFonts w:ascii="Arial" w:hAnsi="Arial" w:cs="Arial"/>
                <w:sz w:val="18"/>
                <w:szCs w:val="18"/>
              </w:rPr>
            </w:pPr>
          </w:p>
        </w:tc>
        <w:tc>
          <w:tcPr>
            <w:tcW w:w="410" w:type="pct"/>
            <w:tcBorders>
              <w:top w:val="nil"/>
              <w:left w:val="nil"/>
              <w:bottom w:val="nil"/>
            </w:tcBorders>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3.5%</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$710</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$0</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$192</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$109</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$445</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$68</w:t>
            </w:r>
          </w:p>
        </w:tc>
        <w:tc>
          <w:tcPr>
            <w:tcW w:w="440" w:type="pct"/>
            <w:tcMar>
              <w:left w:w="57" w:type="dxa"/>
              <w:right w:w="57" w:type="dxa"/>
            </w:tcMar>
          </w:tcPr>
          <w:p w:rsidR="00000000" w:rsidRDefault="00D35856">
            <w:pPr>
              <w:keepNext w:val="0"/>
              <w:widowControl w:val="0"/>
              <w:spacing w:before="20" w:after="20"/>
              <w:jc w:val="right"/>
              <w:rPr>
                <w:rFonts w:ascii="Arial" w:hAnsi="Arial" w:cs="Arial"/>
                <w:b/>
                <w:sz w:val="18"/>
                <w:szCs w:val="18"/>
              </w:rPr>
            </w:pPr>
            <w:r>
              <w:rPr>
                <w:rFonts w:ascii="Arial" w:hAnsi="Arial" w:cs="Arial"/>
                <w:b/>
                <w:sz w:val="18"/>
                <w:szCs w:val="18"/>
              </w:rPr>
              <w:t>$1524</w:t>
            </w:r>
          </w:p>
        </w:tc>
      </w:tr>
      <w:tr w:rsidR="00000000">
        <w:tc>
          <w:tcPr>
            <w:tcW w:w="1498" w:type="pct"/>
            <w:vMerge/>
            <w:tcBorders>
              <w:right w:val="nil"/>
            </w:tcBorders>
            <w:tcMar>
              <w:left w:w="57" w:type="dxa"/>
              <w:right w:w="57" w:type="dxa"/>
            </w:tcMar>
            <w:vAlign w:val="center"/>
          </w:tcPr>
          <w:p w:rsidR="00000000" w:rsidRDefault="00D35856">
            <w:pPr>
              <w:keepNext w:val="0"/>
              <w:widowControl w:val="0"/>
              <w:spacing w:before="20" w:after="20"/>
              <w:rPr>
                <w:rFonts w:ascii="Arial" w:hAnsi="Arial" w:cs="Arial"/>
                <w:sz w:val="18"/>
                <w:szCs w:val="18"/>
              </w:rPr>
            </w:pPr>
          </w:p>
        </w:tc>
        <w:tc>
          <w:tcPr>
            <w:tcW w:w="410" w:type="pct"/>
            <w:tcBorders>
              <w:top w:val="nil"/>
              <w:left w:val="nil"/>
              <w:bottom w:val="nil"/>
            </w:tcBorders>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4%</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$686</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$0</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$185</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$106</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$430</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$66</w:t>
            </w:r>
          </w:p>
        </w:tc>
        <w:tc>
          <w:tcPr>
            <w:tcW w:w="440" w:type="pct"/>
            <w:tcMar>
              <w:left w:w="57" w:type="dxa"/>
              <w:right w:w="57" w:type="dxa"/>
            </w:tcMar>
            <w:vAlign w:val="center"/>
          </w:tcPr>
          <w:p w:rsidR="00000000" w:rsidRDefault="00D35856">
            <w:pPr>
              <w:keepNext w:val="0"/>
              <w:widowControl w:val="0"/>
              <w:spacing w:before="20" w:after="20"/>
              <w:jc w:val="right"/>
              <w:rPr>
                <w:rFonts w:ascii="Arial" w:hAnsi="Arial" w:cs="Arial"/>
                <w:b/>
                <w:sz w:val="18"/>
                <w:szCs w:val="18"/>
              </w:rPr>
            </w:pPr>
            <w:r>
              <w:rPr>
                <w:rFonts w:ascii="Arial" w:hAnsi="Arial" w:cs="Arial"/>
                <w:b/>
                <w:sz w:val="18"/>
                <w:szCs w:val="18"/>
              </w:rPr>
              <w:t>$1472</w:t>
            </w:r>
          </w:p>
        </w:tc>
      </w:tr>
      <w:tr w:rsidR="00000000">
        <w:tc>
          <w:tcPr>
            <w:tcW w:w="1498" w:type="pct"/>
            <w:vMerge/>
            <w:tcBorders>
              <w:right w:val="nil"/>
            </w:tcBorders>
            <w:tcMar>
              <w:left w:w="57" w:type="dxa"/>
              <w:right w:w="57" w:type="dxa"/>
            </w:tcMar>
            <w:vAlign w:val="center"/>
          </w:tcPr>
          <w:p w:rsidR="00000000" w:rsidRDefault="00D35856">
            <w:pPr>
              <w:keepNext w:val="0"/>
              <w:widowControl w:val="0"/>
              <w:spacing w:before="20" w:after="20"/>
              <w:rPr>
                <w:rFonts w:ascii="Arial" w:hAnsi="Arial" w:cs="Arial"/>
                <w:sz w:val="6"/>
                <w:szCs w:val="6"/>
              </w:rPr>
            </w:pPr>
          </w:p>
        </w:tc>
        <w:tc>
          <w:tcPr>
            <w:tcW w:w="410" w:type="pct"/>
            <w:tcBorders>
              <w:top w:val="nil"/>
              <w:left w:val="nil"/>
              <w:bottom w:val="nil"/>
            </w:tcBorders>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7%</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$564</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$0</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$152</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$88</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$350</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$55</w:t>
            </w:r>
          </w:p>
        </w:tc>
        <w:tc>
          <w:tcPr>
            <w:tcW w:w="440" w:type="pct"/>
            <w:tcMar>
              <w:left w:w="57" w:type="dxa"/>
              <w:right w:w="57" w:type="dxa"/>
            </w:tcMar>
            <w:vAlign w:val="center"/>
          </w:tcPr>
          <w:p w:rsidR="00000000" w:rsidRDefault="00D35856">
            <w:pPr>
              <w:keepNext w:val="0"/>
              <w:widowControl w:val="0"/>
              <w:spacing w:before="20" w:after="20"/>
              <w:jc w:val="right"/>
              <w:rPr>
                <w:rFonts w:ascii="Arial" w:hAnsi="Arial" w:cs="Arial"/>
                <w:b/>
                <w:sz w:val="18"/>
                <w:szCs w:val="18"/>
              </w:rPr>
            </w:pPr>
            <w:r>
              <w:rPr>
                <w:rFonts w:ascii="Arial" w:hAnsi="Arial" w:cs="Arial"/>
                <w:b/>
                <w:sz w:val="18"/>
                <w:szCs w:val="18"/>
              </w:rPr>
              <w:t>$1209</w:t>
            </w:r>
          </w:p>
        </w:tc>
      </w:tr>
      <w:tr w:rsidR="00000000">
        <w:tc>
          <w:tcPr>
            <w:tcW w:w="1498" w:type="pct"/>
            <w:vMerge/>
            <w:tcBorders>
              <w:right w:val="nil"/>
            </w:tcBorders>
            <w:tcMar>
              <w:left w:w="57" w:type="dxa"/>
              <w:right w:w="57" w:type="dxa"/>
            </w:tcMar>
            <w:vAlign w:val="center"/>
          </w:tcPr>
          <w:p w:rsidR="00000000" w:rsidRDefault="00D35856">
            <w:pPr>
              <w:keepNext w:val="0"/>
              <w:widowControl w:val="0"/>
              <w:spacing w:before="20" w:after="20"/>
              <w:rPr>
                <w:rFonts w:ascii="Arial" w:hAnsi="Arial" w:cs="Arial"/>
                <w:b/>
                <w:sz w:val="18"/>
                <w:szCs w:val="18"/>
              </w:rPr>
            </w:pPr>
          </w:p>
        </w:tc>
        <w:tc>
          <w:tcPr>
            <w:tcW w:w="410" w:type="pct"/>
            <w:tcBorders>
              <w:top w:val="nil"/>
              <w:left w:val="nil"/>
            </w:tcBorders>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10%</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$472</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$0</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$126</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$74</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$290</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$47</w:t>
            </w:r>
          </w:p>
        </w:tc>
        <w:tc>
          <w:tcPr>
            <w:tcW w:w="440" w:type="pct"/>
            <w:tcMar>
              <w:left w:w="57" w:type="dxa"/>
              <w:right w:w="57" w:type="dxa"/>
            </w:tcMar>
            <w:vAlign w:val="center"/>
          </w:tcPr>
          <w:p w:rsidR="00000000" w:rsidRDefault="00D35856">
            <w:pPr>
              <w:keepNext w:val="0"/>
              <w:widowControl w:val="0"/>
              <w:spacing w:before="20" w:after="20"/>
              <w:jc w:val="right"/>
              <w:rPr>
                <w:rFonts w:ascii="Arial" w:hAnsi="Arial" w:cs="Arial"/>
                <w:b/>
                <w:sz w:val="18"/>
                <w:szCs w:val="18"/>
              </w:rPr>
            </w:pPr>
            <w:r>
              <w:rPr>
                <w:rFonts w:ascii="Arial" w:hAnsi="Arial" w:cs="Arial"/>
                <w:b/>
                <w:sz w:val="18"/>
                <w:szCs w:val="18"/>
              </w:rPr>
              <w:t>$1009</w:t>
            </w:r>
          </w:p>
        </w:tc>
      </w:tr>
      <w:tr w:rsidR="00000000">
        <w:tc>
          <w:tcPr>
            <w:tcW w:w="1498" w:type="pct"/>
            <w:tcBorders>
              <w:right w:val="nil"/>
            </w:tcBorders>
            <w:tcMar>
              <w:left w:w="57" w:type="dxa"/>
              <w:right w:w="57" w:type="dxa"/>
            </w:tcMar>
            <w:vAlign w:val="center"/>
          </w:tcPr>
          <w:p w:rsidR="00000000" w:rsidRDefault="00D35856">
            <w:pPr>
              <w:keepNext w:val="0"/>
              <w:widowControl w:val="0"/>
              <w:spacing w:before="20" w:after="20"/>
              <w:rPr>
                <w:rFonts w:ascii="Arial" w:hAnsi="Arial" w:cs="Arial"/>
                <w:b/>
                <w:sz w:val="6"/>
                <w:szCs w:val="6"/>
              </w:rPr>
            </w:pPr>
          </w:p>
        </w:tc>
        <w:tc>
          <w:tcPr>
            <w:tcW w:w="410" w:type="pct"/>
            <w:tcBorders>
              <w:left w:val="nil"/>
              <w:right w:val="nil"/>
            </w:tcBorders>
            <w:tcMar>
              <w:left w:w="57" w:type="dxa"/>
              <w:right w:w="57" w:type="dxa"/>
            </w:tcMar>
            <w:vAlign w:val="center"/>
          </w:tcPr>
          <w:p w:rsidR="00000000" w:rsidRDefault="00D35856">
            <w:pPr>
              <w:keepNext w:val="0"/>
              <w:widowControl w:val="0"/>
              <w:spacing w:before="20" w:after="20"/>
              <w:rPr>
                <w:rFonts w:ascii="Arial" w:hAnsi="Arial" w:cs="Arial"/>
                <w:sz w:val="6"/>
                <w:szCs w:val="6"/>
              </w:rPr>
            </w:pPr>
          </w:p>
        </w:tc>
        <w:tc>
          <w:tcPr>
            <w:tcW w:w="442" w:type="pct"/>
            <w:tcBorders>
              <w:left w:val="nil"/>
              <w:right w:val="nil"/>
            </w:tcBorders>
            <w:tcMar>
              <w:left w:w="57" w:type="dxa"/>
              <w:right w:w="57" w:type="dxa"/>
            </w:tcMar>
            <w:vAlign w:val="center"/>
          </w:tcPr>
          <w:p w:rsidR="00000000" w:rsidRDefault="00D35856">
            <w:pPr>
              <w:keepNext w:val="0"/>
              <w:widowControl w:val="0"/>
              <w:spacing w:before="20" w:after="20"/>
              <w:rPr>
                <w:rFonts w:ascii="Arial" w:hAnsi="Arial" w:cs="Arial"/>
                <w:sz w:val="6"/>
                <w:szCs w:val="6"/>
              </w:rPr>
            </w:pPr>
          </w:p>
        </w:tc>
        <w:tc>
          <w:tcPr>
            <w:tcW w:w="442" w:type="pct"/>
            <w:tcBorders>
              <w:left w:val="nil"/>
              <w:right w:val="nil"/>
            </w:tcBorders>
            <w:tcMar>
              <w:left w:w="57" w:type="dxa"/>
              <w:right w:w="57" w:type="dxa"/>
            </w:tcMar>
            <w:vAlign w:val="center"/>
          </w:tcPr>
          <w:p w:rsidR="00000000" w:rsidRDefault="00D35856">
            <w:pPr>
              <w:keepNext w:val="0"/>
              <w:widowControl w:val="0"/>
              <w:spacing w:before="20" w:after="20"/>
              <w:rPr>
                <w:rFonts w:ascii="Arial" w:hAnsi="Arial" w:cs="Arial"/>
                <w:sz w:val="6"/>
                <w:szCs w:val="6"/>
              </w:rPr>
            </w:pPr>
          </w:p>
        </w:tc>
        <w:tc>
          <w:tcPr>
            <w:tcW w:w="442" w:type="pct"/>
            <w:tcBorders>
              <w:left w:val="nil"/>
              <w:right w:val="nil"/>
            </w:tcBorders>
            <w:tcMar>
              <w:left w:w="57" w:type="dxa"/>
              <w:right w:w="57" w:type="dxa"/>
            </w:tcMar>
            <w:vAlign w:val="center"/>
          </w:tcPr>
          <w:p w:rsidR="00000000" w:rsidRDefault="00D35856">
            <w:pPr>
              <w:keepNext w:val="0"/>
              <w:widowControl w:val="0"/>
              <w:spacing w:before="20" w:after="20"/>
              <w:rPr>
                <w:rFonts w:ascii="Arial" w:hAnsi="Arial" w:cs="Arial"/>
                <w:sz w:val="6"/>
                <w:szCs w:val="6"/>
              </w:rPr>
            </w:pPr>
          </w:p>
        </w:tc>
        <w:tc>
          <w:tcPr>
            <w:tcW w:w="442" w:type="pct"/>
            <w:tcBorders>
              <w:left w:val="nil"/>
              <w:right w:val="nil"/>
            </w:tcBorders>
            <w:tcMar>
              <w:left w:w="57" w:type="dxa"/>
              <w:right w:w="57" w:type="dxa"/>
            </w:tcMar>
            <w:vAlign w:val="center"/>
          </w:tcPr>
          <w:p w:rsidR="00000000" w:rsidRDefault="00D35856">
            <w:pPr>
              <w:keepNext w:val="0"/>
              <w:widowControl w:val="0"/>
              <w:spacing w:before="20" w:after="20"/>
              <w:rPr>
                <w:rFonts w:ascii="Arial" w:hAnsi="Arial" w:cs="Arial"/>
                <w:sz w:val="6"/>
                <w:szCs w:val="6"/>
              </w:rPr>
            </w:pPr>
          </w:p>
        </w:tc>
        <w:tc>
          <w:tcPr>
            <w:tcW w:w="442" w:type="pct"/>
            <w:tcBorders>
              <w:left w:val="nil"/>
              <w:right w:val="nil"/>
            </w:tcBorders>
            <w:tcMar>
              <w:left w:w="57" w:type="dxa"/>
              <w:right w:w="57" w:type="dxa"/>
            </w:tcMar>
            <w:vAlign w:val="center"/>
          </w:tcPr>
          <w:p w:rsidR="00000000" w:rsidRDefault="00D35856">
            <w:pPr>
              <w:keepNext w:val="0"/>
              <w:widowControl w:val="0"/>
              <w:spacing w:before="20" w:after="20"/>
              <w:rPr>
                <w:rFonts w:ascii="Arial" w:hAnsi="Arial" w:cs="Arial"/>
                <w:sz w:val="6"/>
                <w:szCs w:val="6"/>
              </w:rPr>
            </w:pPr>
          </w:p>
        </w:tc>
        <w:tc>
          <w:tcPr>
            <w:tcW w:w="442" w:type="pct"/>
            <w:tcBorders>
              <w:left w:val="nil"/>
              <w:right w:val="nil"/>
            </w:tcBorders>
            <w:tcMar>
              <w:left w:w="57" w:type="dxa"/>
              <w:right w:w="57" w:type="dxa"/>
            </w:tcMar>
            <w:vAlign w:val="center"/>
          </w:tcPr>
          <w:p w:rsidR="00000000" w:rsidRDefault="00D35856">
            <w:pPr>
              <w:keepNext w:val="0"/>
              <w:widowControl w:val="0"/>
              <w:spacing w:before="20" w:after="20"/>
              <w:rPr>
                <w:rFonts w:ascii="Arial" w:hAnsi="Arial" w:cs="Arial"/>
                <w:sz w:val="6"/>
                <w:szCs w:val="6"/>
              </w:rPr>
            </w:pPr>
          </w:p>
        </w:tc>
        <w:tc>
          <w:tcPr>
            <w:tcW w:w="440" w:type="pct"/>
            <w:tcBorders>
              <w:left w:val="nil"/>
            </w:tcBorders>
            <w:tcMar>
              <w:left w:w="57" w:type="dxa"/>
              <w:right w:w="57" w:type="dxa"/>
            </w:tcMar>
            <w:vAlign w:val="center"/>
          </w:tcPr>
          <w:p w:rsidR="00000000" w:rsidRDefault="00D35856">
            <w:pPr>
              <w:keepNext w:val="0"/>
              <w:widowControl w:val="0"/>
              <w:spacing w:before="20" w:after="20"/>
              <w:jc w:val="right"/>
              <w:rPr>
                <w:rFonts w:ascii="Arial" w:hAnsi="Arial" w:cs="Arial"/>
                <w:b/>
                <w:sz w:val="6"/>
                <w:szCs w:val="6"/>
              </w:rPr>
            </w:pPr>
          </w:p>
        </w:tc>
      </w:tr>
      <w:tr w:rsidR="00000000">
        <w:tc>
          <w:tcPr>
            <w:tcW w:w="1498" w:type="pct"/>
            <w:tcBorders>
              <w:bottom w:val="nil"/>
              <w:right w:val="nil"/>
            </w:tcBorders>
            <w:tcMar>
              <w:left w:w="57" w:type="dxa"/>
              <w:right w:w="57" w:type="dxa"/>
            </w:tcMar>
            <w:vAlign w:val="center"/>
          </w:tcPr>
          <w:p w:rsidR="00000000" w:rsidRDefault="00D35856">
            <w:pPr>
              <w:keepNext w:val="0"/>
              <w:widowControl w:val="0"/>
              <w:spacing w:before="20" w:after="20"/>
              <w:rPr>
                <w:rFonts w:ascii="Arial" w:hAnsi="Arial" w:cs="Arial"/>
                <w:sz w:val="18"/>
                <w:szCs w:val="18"/>
              </w:rPr>
            </w:pPr>
            <w:r>
              <w:rPr>
                <w:rFonts w:ascii="Arial" w:hAnsi="Arial" w:cs="Arial"/>
                <w:b/>
                <w:sz w:val="18"/>
                <w:szCs w:val="18"/>
              </w:rPr>
              <w:t>Total</w:t>
            </w:r>
          </w:p>
        </w:tc>
        <w:tc>
          <w:tcPr>
            <w:tcW w:w="410" w:type="pct"/>
            <w:tcBorders>
              <w:left w:val="nil"/>
              <w:bottom w:val="nil"/>
            </w:tcBorders>
            <w:tcMar>
              <w:left w:w="57" w:type="dxa"/>
              <w:right w:w="57" w:type="dxa"/>
            </w:tcMar>
            <w:vAlign w:val="center"/>
          </w:tcPr>
          <w:p w:rsidR="00000000" w:rsidRDefault="00D35856">
            <w:pPr>
              <w:keepNext w:val="0"/>
              <w:widowControl w:val="0"/>
              <w:spacing w:before="20" w:after="20"/>
              <w:jc w:val="right"/>
              <w:rPr>
                <w:rFonts w:ascii="Arial" w:hAnsi="Arial" w:cs="Arial"/>
                <w:bCs/>
                <w:sz w:val="18"/>
                <w:szCs w:val="18"/>
              </w:rPr>
            </w:pPr>
            <w:r>
              <w:rPr>
                <w:rFonts w:ascii="Arial" w:hAnsi="Arial" w:cs="Arial"/>
                <w:bCs/>
                <w:sz w:val="18"/>
                <w:szCs w:val="18"/>
              </w:rPr>
              <w:t>1.6%</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$1,167</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$0</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$294</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$251</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$742</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$106</w:t>
            </w:r>
          </w:p>
        </w:tc>
        <w:tc>
          <w:tcPr>
            <w:tcW w:w="440" w:type="pct"/>
            <w:tcMar>
              <w:left w:w="57" w:type="dxa"/>
              <w:right w:w="57" w:type="dxa"/>
            </w:tcMar>
          </w:tcPr>
          <w:p w:rsidR="00000000" w:rsidRDefault="00D35856">
            <w:pPr>
              <w:keepNext w:val="0"/>
              <w:widowControl w:val="0"/>
              <w:spacing w:before="20" w:after="20"/>
              <w:jc w:val="right"/>
              <w:rPr>
                <w:rFonts w:ascii="Arial" w:hAnsi="Arial" w:cs="Arial"/>
                <w:b/>
                <w:sz w:val="18"/>
                <w:szCs w:val="18"/>
              </w:rPr>
            </w:pPr>
            <w:r>
              <w:rPr>
                <w:rFonts w:ascii="Arial" w:hAnsi="Arial" w:cs="Arial"/>
                <w:b/>
                <w:sz w:val="18"/>
                <w:szCs w:val="18"/>
              </w:rPr>
              <w:t>$2560</w:t>
            </w:r>
          </w:p>
        </w:tc>
      </w:tr>
      <w:tr w:rsidR="00000000">
        <w:tc>
          <w:tcPr>
            <w:tcW w:w="1498" w:type="pct"/>
            <w:tcBorders>
              <w:top w:val="nil"/>
              <w:bottom w:val="nil"/>
              <w:right w:val="nil"/>
            </w:tcBorders>
            <w:tcMar>
              <w:left w:w="57" w:type="dxa"/>
              <w:right w:w="57" w:type="dxa"/>
            </w:tcMar>
            <w:vAlign w:val="center"/>
          </w:tcPr>
          <w:p w:rsidR="00000000" w:rsidRDefault="00D35856">
            <w:pPr>
              <w:keepNext w:val="0"/>
              <w:widowControl w:val="0"/>
              <w:spacing w:before="20" w:after="20"/>
              <w:rPr>
                <w:rFonts w:ascii="Arial" w:hAnsi="Arial" w:cs="Arial"/>
                <w:sz w:val="18"/>
                <w:szCs w:val="18"/>
              </w:rPr>
            </w:pPr>
          </w:p>
        </w:tc>
        <w:tc>
          <w:tcPr>
            <w:tcW w:w="410" w:type="pct"/>
            <w:tcBorders>
              <w:top w:val="nil"/>
              <w:left w:val="nil"/>
              <w:bottom w:val="nil"/>
            </w:tcBorders>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3.5%</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$1,064</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$0</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$265</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$236</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$675</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$97</w:t>
            </w:r>
          </w:p>
        </w:tc>
        <w:tc>
          <w:tcPr>
            <w:tcW w:w="440" w:type="pct"/>
            <w:tcMar>
              <w:left w:w="57" w:type="dxa"/>
              <w:right w:w="57" w:type="dxa"/>
            </w:tcMar>
          </w:tcPr>
          <w:p w:rsidR="00000000" w:rsidRDefault="00D35856">
            <w:pPr>
              <w:keepNext w:val="0"/>
              <w:widowControl w:val="0"/>
              <w:spacing w:before="20" w:after="20"/>
              <w:jc w:val="right"/>
              <w:rPr>
                <w:rFonts w:ascii="Arial" w:hAnsi="Arial" w:cs="Arial"/>
                <w:b/>
                <w:sz w:val="18"/>
                <w:szCs w:val="18"/>
              </w:rPr>
            </w:pPr>
            <w:r>
              <w:rPr>
                <w:rFonts w:ascii="Arial" w:hAnsi="Arial" w:cs="Arial"/>
                <w:b/>
                <w:sz w:val="18"/>
                <w:szCs w:val="18"/>
              </w:rPr>
              <w:t>$2338</w:t>
            </w:r>
          </w:p>
        </w:tc>
      </w:tr>
      <w:tr w:rsidR="00000000">
        <w:tc>
          <w:tcPr>
            <w:tcW w:w="1498" w:type="pct"/>
            <w:tcBorders>
              <w:top w:val="nil"/>
              <w:bottom w:val="nil"/>
              <w:right w:val="nil"/>
            </w:tcBorders>
            <w:tcMar>
              <w:left w:w="57" w:type="dxa"/>
              <w:right w:w="57" w:type="dxa"/>
            </w:tcMar>
            <w:vAlign w:val="center"/>
          </w:tcPr>
          <w:p w:rsidR="00000000" w:rsidRDefault="00D35856">
            <w:pPr>
              <w:keepNext w:val="0"/>
              <w:widowControl w:val="0"/>
              <w:spacing w:before="20" w:after="20"/>
              <w:rPr>
                <w:rFonts w:ascii="Arial" w:hAnsi="Arial" w:cs="Arial"/>
                <w:sz w:val="18"/>
                <w:szCs w:val="18"/>
              </w:rPr>
            </w:pPr>
            <w:r>
              <w:rPr>
                <w:rFonts w:ascii="Arial" w:hAnsi="Arial" w:cs="Arial"/>
                <w:sz w:val="18"/>
                <w:szCs w:val="18"/>
              </w:rPr>
              <w:t> </w:t>
            </w:r>
          </w:p>
        </w:tc>
        <w:tc>
          <w:tcPr>
            <w:tcW w:w="410" w:type="pct"/>
            <w:tcBorders>
              <w:top w:val="nil"/>
              <w:left w:val="nil"/>
              <w:bottom w:val="nil"/>
            </w:tcBorders>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4%</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$1,040</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$0</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$259</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$233</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$659</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$95</w:t>
            </w:r>
          </w:p>
        </w:tc>
        <w:tc>
          <w:tcPr>
            <w:tcW w:w="440" w:type="pct"/>
            <w:tcMar>
              <w:left w:w="57" w:type="dxa"/>
              <w:right w:w="57" w:type="dxa"/>
            </w:tcMar>
            <w:vAlign w:val="center"/>
          </w:tcPr>
          <w:p w:rsidR="00000000" w:rsidRDefault="00D35856">
            <w:pPr>
              <w:keepNext w:val="0"/>
              <w:widowControl w:val="0"/>
              <w:spacing w:before="20" w:after="20"/>
              <w:jc w:val="right"/>
              <w:rPr>
                <w:rFonts w:ascii="Arial" w:hAnsi="Arial" w:cs="Arial"/>
                <w:b/>
                <w:sz w:val="18"/>
                <w:szCs w:val="18"/>
              </w:rPr>
            </w:pPr>
            <w:r>
              <w:rPr>
                <w:rFonts w:ascii="Arial" w:hAnsi="Arial" w:cs="Arial"/>
                <w:b/>
                <w:sz w:val="18"/>
                <w:szCs w:val="18"/>
              </w:rPr>
              <w:t>$2286</w:t>
            </w:r>
          </w:p>
        </w:tc>
      </w:tr>
      <w:tr w:rsidR="00000000">
        <w:tc>
          <w:tcPr>
            <w:tcW w:w="1498" w:type="pct"/>
            <w:tcBorders>
              <w:top w:val="nil"/>
              <w:bottom w:val="nil"/>
              <w:right w:val="nil"/>
            </w:tcBorders>
            <w:tcMar>
              <w:left w:w="57" w:type="dxa"/>
              <w:right w:w="57" w:type="dxa"/>
            </w:tcMar>
            <w:vAlign w:val="center"/>
          </w:tcPr>
          <w:p w:rsidR="00000000" w:rsidRDefault="00D35856">
            <w:pPr>
              <w:keepNext w:val="0"/>
              <w:widowControl w:val="0"/>
              <w:spacing w:before="20" w:after="20"/>
              <w:rPr>
                <w:rFonts w:ascii="Arial" w:hAnsi="Arial" w:cs="Arial"/>
                <w:sz w:val="18"/>
                <w:szCs w:val="18"/>
              </w:rPr>
            </w:pPr>
          </w:p>
        </w:tc>
        <w:tc>
          <w:tcPr>
            <w:tcW w:w="410" w:type="pct"/>
            <w:tcBorders>
              <w:top w:val="nil"/>
              <w:left w:val="nil"/>
              <w:bottom w:val="nil"/>
            </w:tcBorders>
            <w:tcMar>
              <w:left w:w="57" w:type="dxa"/>
              <w:right w:w="57" w:type="dxa"/>
            </w:tcMar>
            <w:vAlign w:val="center"/>
          </w:tcPr>
          <w:p w:rsidR="00000000" w:rsidRDefault="00D35856">
            <w:pPr>
              <w:keepNext w:val="0"/>
              <w:widowControl w:val="0"/>
              <w:spacing w:before="20" w:after="20"/>
              <w:jc w:val="right"/>
              <w:rPr>
                <w:rFonts w:ascii="Arial" w:hAnsi="Arial" w:cs="Arial"/>
                <w:bCs/>
                <w:sz w:val="18"/>
                <w:szCs w:val="18"/>
              </w:rPr>
            </w:pPr>
            <w:r>
              <w:rPr>
                <w:rFonts w:ascii="Arial" w:hAnsi="Arial" w:cs="Arial"/>
                <w:bCs/>
                <w:sz w:val="18"/>
                <w:szCs w:val="18"/>
              </w:rPr>
              <w:t>7%</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$918</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$0</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$225</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$215</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$580</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$85</w:t>
            </w:r>
          </w:p>
        </w:tc>
        <w:tc>
          <w:tcPr>
            <w:tcW w:w="440" w:type="pct"/>
            <w:tcMar>
              <w:left w:w="57" w:type="dxa"/>
              <w:right w:w="57" w:type="dxa"/>
            </w:tcMar>
            <w:vAlign w:val="center"/>
          </w:tcPr>
          <w:p w:rsidR="00000000" w:rsidRDefault="00D35856">
            <w:pPr>
              <w:keepNext w:val="0"/>
              <w:widowControl w:val="0"/>
              <w:spacing w:before="20" w:after="20"/>
              <w:jc w:val="right"/>
              <w:rPr>
                <w:rFonts w:ascii="Arial" w:hAnsi="Arial" w:cs="Arial"/>
                <w:b/>
                <w:sz w:val="18"/>
                <w:szCs w:val="18"/>
              </w:rPr>
            </w:pPr>
            <w:r>
              <w:rPr>
                <w:rFonts w:ascii="Arial" w:hAnsi="Arial" w:cs="Arial"/>
                <w:b/>
                <w:sz w:val="18"/>
                <w:szCs w:val="18"/>
              </w:rPr>
              <w:t>$2022</w:t>
            </w:r>
          </w:p>
        </w:tc>
      </w:tr>
      <w:tr w:rsidR="00000000">
        <w:tc>
          <w:tcPr>
            <w:tcW w:w="1498" w:type="pct"/>
            <w:tcBorders>
              <w:top w:val="nil"/>
              <w:right w:val="nil"/>
            </w:tcBorders>
            <w:tcMar>
              <w:left w:w="57" w:type="dxa"/>
              <w:right w:w="57" w:type="dxa"/>
            </w:tcMar>
            <w:vAlign w:val="center"/>
          </w:tcPr>
          <w:p w:rsidR="00000000" w:rsidRDefault="00D35856">
            <w:pPr>
              <w:keepNext w:val="0"/>
              <w:widowControl w:val="0"/>
              <w:spacing w:before="20" w:after="20"/>
              <w:rPr>
                <w:rFonts w:ascii="Arial" w:hAnsi="Arial" w:cs="Arial"/>
                <w:sz w:val="18"/>
                <w:szCs w:val="18"/>
              </w:rPr>
            </w:pPr>
          </w:p>
        </w:tc>
        <w:tc>
          <w:tcPr>
            <w:tcW w:w="410" w:type="pct"/>
            <w:tcBorders>
              <w:top w:val="nil"/>
              <w:left w:val="nil"/>
            </w:tcBorders>
            <w:tcMar>
              <w:left w:w="57" w:type="dxa"/>
              <w:right w:w="57" w:type="dxa"/>
            </w:tcMar>
            <w:vAlign w:val="center"/>
          </w:tcPr>
          <w:p w:rsidR="00000000" w:rsidRDefault="00D35856">
            <w:pPr>
              <w:keepNext w:val="0"/>
              <w:widowControl w:val="0"/>
              <w:spacing w:before="20" w:after="20"/>
              <w:jc w:val="right"/>
              <w:rPr>
                <w:rFonts w:ascii="Arial" w:hAnsi="Arial" w:cs="Arial"/>
                <w:bCs/>
                <w:sz w:val="18"/>
                <w:szCs w:val="18"/>
              </w:rPr>
            </w:pPr>
            <w:r>
              <w:rPr>
                <w:rFonts w:ascii="Arial" w:hAnsi="Arial" w:cs="Arial"/>
                <w:bCs/>
                <w:sz w:val="18"/>
                <w:szCs w:val="18"/>
              </w:rPr>
              <w:t>10%</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$826</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$0</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$199</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$201</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$519</w:t>
            </w:r>
          </w:p>
        </w:tc>
        <w:tc>
          <w:tcPr>
            <w:tcW w:w="442" w:type="pct"/>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$77</w:t>
            </w:r>
          </w:p>
        </w:tc>
        <w:tc>
          <w:tcPr>
            <w:tcW w:w="440" w:type="pct"/>
            <w:tcMar>
              <w:left w:w="57" w:type="dxa"/>
              <w:right w:w="57" w:type="dxa"/>
            </w:tcMar>
            <w:vAlign w:val="center"/>
          </w:tcPr>
          <w:p w:rsidR="00000000" w:rsidRDefault="00D35856">
            <w:pPr>
              <w:keepNext w:val="0"/>
              <w:widowControl w:val="0"/>
              <w:spacing w:before="20" w:after="20"/>
              <w:jc w:val="right"/>
              <w:rPr>
                <w:rFonts w:ascii="Arial" w:hAnsi="Arial" w:cs="Arial"/>
                <w:b/>
                <w:sz w:val="18"/>
                <w:szCs w:val="18"/>
              </w:rPr>
            </w:pPr>
            <w:r>
              <w:rPr>
                <w:rFonts w:ascii="Arial" w:hAnsi="Arial" w:cs="Arial"/>
                <w:b/>
                <w:sz w:val="18"/>
                <w:szCs w:val="18"/>
              </w:rPr>
              <w:t>$1822</w:t>
            </w:r>
          </w:p>
        </w:tc>
      </w:tr>
    </w:tbl>
    <w:p w:rsidR="00000000" w:rsidRDefault="00D35856">
      <w:pPr>
        <w:keepNext w:val="0"/>
        <w:widowControl w:val="0"/>
        <w:spacing w:after="0"/>
        <w:rPr>
          <w:sz w:val="18"/>
          <w:szCs w:val="18"/>
        </w:rPr>
      </w:pPr>
      <w:r>
        <w:rPr>
          <w:sz w:val="18"/>
          <w:szCs w:val="18"/>
        </w:rPr>
        <w:t>See list of Abbreviations on page ix for acronyms.</w:t>
      </w:r>
    </w:p>
    <w:p w:rsidR="00000000" w:rsidRDefault="00D35856">
      <w:pPr>
        <w:keepNext w:val="0"/>
        <w:widowControl w:val="0"/>
      </w:pPr>
    </w:p>
    <w:tbl>
      <w:tblPr>
        <w:tblStyle w:val="TableGrid"/>
        <w:tblW w:w="0" w:type="auto"/>
        <w:tblLook w:val="01E0"/>
      </w:tblPr>
      <w:tblGrid>
        <w:gridCol w:w="8714"/>
      </w:tblGrid>
      <w:tr w:rsidR="00000000">
        <w:tc>
          <w:tcPr>
            <w:tcW w:w="8714" w:type="dxa"/>
          </w:tcPr>
          <w:p w:rsidR="00000000" w:rsidRDefault="00D35856">
            <w:pPr>
              <w:keepNext w:val="0"/>
              <w:widowControl w:val="0"/>
              <w:rPr>
                <w:rFonts w:ascii="Arial" w:hAnsi="Arial" w:cs="Arial"/>
                <w:b/>
                <w:szCs w:val="19"/>
              </w:rPr>
            </w:pPr>
            <w:r>
              <w:rPr>
                <w:rFonts w:ascii="Arial" w:hAnsi="Arial" w:cs="Arial"/>
                <w:b/>
                <w:szCs w:val="19"/>
              </w:rPr>
              <w:t>Parameter sensitivity: testing costs per unit</w:t>
            </w:r>
          </w:p>
          <w:p w:rsidR="00000000" w:rsidRDefault="00D35856">
            <w:pPr>
              <w:keepNext w:val="0"/>
              <w:widowControl w:val="0"/>
              <w:rPr>
                <w:sz w:val="22"/>
              </w:rPr>
            </w:pPr>
            <w:r>
              <w:rPr>
                <w:rFonts w:ascii="Arial" w:hAnsi="Arial" w:cs="Arial"/>
                <w:szCs w:val="19"/>
              </w:rPr>
              <w:t>Estimations of testing costs depend on assumptions about testing costs per unit. For example, if not only showers and tapware but also all clothes washers and toilets were tested by external laboratories (or if the cost of testing externally was the same a</w:t>
            </w:r>
            <w:r>
              <w:rPr>
                <w:rFonts w:ascii="Arial" w:hAnsi="Arial" w:cs="Arial"/>
                <w:szCs w:val="19"/>
              </w:rPr>
              <w:t>s testing internally), the total testing costs (2005—06 to 2020—21) would be in the order of NPV $2.8m (at 10% discount rate) to $4.0m (at 1.6% discount rate), compared to $1.8m to $2.6m as calculated above.</w:t>
            </w:r>
          </w:p>
        </w:tc>
      </w:tr>
    </w:tbl>
    <w:p w:rsidR="00000000" w:rsidRDefault="00D35856">
      <w:pPr>
        <w:keepNext w:val="0"/>
        <w:widowControl w:val="0"/>
      </w:pPr>
    </w:p>
    <w:p w:rsidR="00000000" w:rsidRDefault="00D35856">
      <w:pPr>
        <w:pStyle w:val="Heading3"/>
        <w:keepNext w:val="0"/>
        <w:numPr>
          <w:ilvl w:val="2"/>
          <w:numId w:val="3"/>
        </w:numPr>
        <w:tabs>
          <w:tab w:val="clear" w:pos="1440"/>
        </w:tabs>
        <w:ind w:left="851" w:hanging="851"/>
        <w:rPr>
          <w:color w:val="auto"/>
        </w:rPr>
      </w:pPr>
      <w:bookmarkStart w:id="160" w:name="_Toc199933751"/>
      <w:r>
        <w:rPr>
          <w:color w:val="auto"/>
        </w:rPr>
        <w:t>Registration fees payable</w:t>
      </w:r>
      <w:bookmarkEnd w:id="160"/>
    </w:p>
    <w:p w:rsidR="00000000" w:rsidRDefault="00D35856">
      <w:pPr>
        <w:keepNext w:val="0"/>
        <w:widowControl w:val="0"/>
      </w:pPr>
      <w:r>
        <w:t>This analysis has assumed that registration fees will remain payable at $1500 (2007 dollars) per model, family or set of minor products. It has been assumed that a registration fee for additions will not be introduced during the period to 202</w:t>
      </w:r>
      <w:r>
        <w:t xml:space="preserve">0—2021. The NPV of registration fees/revenue (excluding flow controllers) is estimated to be $4.7m to 2020—2021 as shown in </w:t>
      </w:r>
      <w:fldSimple w:instr=" REF _Ref188071367 \h  \* MERGEFORMAT ">
        <w:r>
          <w:t xml:space="preserve">Table </w:t>
        </w:r>
        <w:r>
          <w:rPr>
            <w:noProof/>
          </w:rPr>
          <w:t>4</w:t>
        </w:r>
        <w:r>
          <w:rPr>
            <w:noProof/>
          </w:rPr>
          <w:noBreakHyphen/>
          <w:t>8</w:t>
        </w:r>
      </w:fldSimple>
      <w:r>
        <w:t>.</w:t>
      </w:r>
    </w:p>
    <w:p w:rsidR="00000000" w:rsidRDefault="00D35856">
      <w:pPr>
        <w:pStyle w:val="Caption"/>
        <w:keepNext w:val="0"/>
      </w:pPr>
      <w:bookmarkStart w:id="161" w:name="_Ref188071367"/>
      <w:bookmarkStart w:id="162" w:name="_Toc199933801"/>
      <w:r>
        <w:t xml:space="preserve">Table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Table \* ARABIC \s 1 </w:instrText>
      </w:r>
      <w:r>
        <w:fldChar w:fldCharType="separate"/>
      </w:r>
      <w:r>
        <w:rPr>
          <w:noProof/>
        </w:rPr>
        <w:t>8</w:t>
      </w:r>
      <w:r>
        <w:fldChar w:fldCharType="end"/>
      </w:r>
      <w:bookmarkEnd w:id="161"/>
      <w:r>
        <w:t>:  Actual and projected registration fee costs/revenue</w:t>
      </w:r>
      <w:bookmarkEnd w:id="162"/>
    </w:p>
    <w:tbl>
      <w:tblPr>
        <w:tblStyle w:val="TableGrid"/>
        <w:tblW w:w="4965" w:type="pct"/>
        <w:tblLayout w:type="fixed"/>
        <w:tblLook w:val="01E0"/>
      </w:tblPr>
      <w:tblGrid>
        <w:gridCol w:w="2562"/>
        <w:gridCol w:w="701"/>
        <w:gridCol w:w="756"/>
        <w:gridCol w:w="756"/>
        <w:gridCol w:w="756"/>
        <w:gridCol w:w="756"/>
        <w:gridCol w:w="756"/>
        <w:gridCol w:w="756"/>
        <w:gridCol w:w="753"/>
      </w:tblGrid>
      <w:tr w:rsidR="00000000">
        <w:trPr>
          <w:trHeight w:val="407"/>
        </w:trPr>
        <w:tc>
          <w:tcPr>
            <w:tcW w:w="1498" w:type="pct"/>
            <w:tcBorders>
              <w:right w:val="nil"/>
            </w:tcBorders>
            <w:shd w:val="clear" w:color="auto" w:fill="CCCCCC"/>
            <w:tcMar>
              <w:left w:w="57" w:type="dxa"/>
              <w:right w:w="57" w:type="dxa"/>
            </w:tcMar>
          </w:tcPr>
          <w:p w:rsidR="00000000" w:rsidRDefault="00D35856">
            <w:pPr>
              <w:keepNext w:val="0"/>
              <w:widowControl w:val="0"/>
              <w:spacing w:after="40"/>
              <w:rPr>
                <w:rFonts w:ascii="Arial" w:hAnsi="Arial" w:cs="Arial"/>
                <w:b/>
                <w:bCs/>
                <w:sz w:val="20"/>
                <w:szCs w:val="20"/>
              </w:rPr>
            </w:pPr>
            <w:r>
              <w:rPr>
                <w:rFonts w:ascii="Arial" w:hAnsi="Arial" w:cs="Arial"/>
                <w:b/>
                <w:bCs/>
                <w:sz w:val="20"/>
                <w:szCs w:val="20"/>
              </w:rPr>
              <w:t>NPV ($000) total</w:t>
            </w:r>
          </w:p>
        </w:tc>
        <w:tc>
          <w:tcPr>
            <w:tcW w:w="410" w:type="pct"/>
            <w:tcBorders>
              <w:left w:val="nil"/>
            </w:tcBorders>
            <w:shd w:val="clear" w:color="auto" w:fill="CCCCCC"/>
            <w:tcMar>
              <w:left w:w="57" w:type="dxa"/>
              <w:right w:w="57" w:type="dxa"/>
            </w:tcMar>
          </w:tcPr>
          <w:p w:rsidR="00000000" w:rsidRDefault="00D35856">
            <w:pPr>
              <w:keepNext w:val="0"/>
              <w:widowControl w:val="0"/>
              <w:spacing w:after="40"/>
              <w:rPr>
                <w:rFonts w:ascii="Arial" w:hAnsi="Arial" w:cs="Arial"/>
                <w:b/>
                <w:bCs/>
                <w:sz w:val="18"/>
                <w:szCs w:val="18"/>
              </w:rPr>
            </w:pPr>
          </w:p>
        </w:tc>
        <w:tc>
          <w:tcPr>
            <w:tcW w:w="442" w:type="pct"/>
            <w:shd w:val="clear" w:color="auto" w:fill="CCCCCC"/>
            <w:tcMar>
              <w:left w:w="57" w:type="dxa"/>
              <w:right w:w="57" w:type="dxa"/>
            </w:tcMar>
          </w:tcPr>
          <w:p w:rsidR="00000000" w:rsidRDefault="00D35856">
            <w:pPr>
              <w:keepNext w:val="0"/>
              <w:widowControl w:val="0"/>
              <w:spacing w:after="40"/>
              <w:jc w:val="center"/>
              <w:rPr>
                <w:rFonts w:ascii="Arial" w:hAnsi="Arial" w:cs="Arial"/>
                <w:b/>
                <w:bCs/>
                <w:sz w:val="18"/>
                <w:szCs w:val="20"/>
              </w:rPr>
            </w:pPr>
            <w:r>
              <w:rPr>
                <w:rFonts w:ascii="Arial" w:hAnsi="Arial" w:cs="Arial"/>
                <w:b/>
                <w:bCs/>
                <w:sz w:val="18"/>
                <w:szCs w:val="20"/>
              </w:rPr>
              <w:t>CWM</w:t>
            </w:r>
          </w:p>
        </w:tc>
        <w:tc>
          <w:tcPr>
            <w:tcW w:w="442" w:type="pct"/>
            <w:shd w:val="clear" w:color="auto" w:fill="CCCCCC"/>
            <w:tcMar>
              <w:left w:w="57" w:type="dxa"/>
              <w:right w:w="57" w:type="dxa"/>
            </w:tcMar>
          </w:tcPr>
          <w:p w:rsidR="00000000" w:rsidRDefault="00D35856">
            <w:pPr>
              <w:keepNext w:val="0"/>
              <w:widowControl w:val="0"/>
              <w:spacing w:after="40"/>
              <w:jc w:val="center"/>
              <w:rPr>
                <w:rFonts w:ascii="Arial" w:hAnsi="Arial" w:cs="Arial"/>
                <w:b/>
                <w:bCs/>
                <w:sz w:val="18"/>
                <w:szCs w:val="20"/>
              </w:rPr>
            </w:pPr>
            <w:r>
              <w:rPr>
                <w:rFonts w:ascii="Arial" w:hAnsi="Arial" w:cs="Arial"/>
                <w:b/>
                <w:bCs/>
                <w:sz w:val="18"/>
                <w:szCs w:val="20"/>
              </w:rPr>
              <w:t>DWM</w:t>
            </w:r>
          </w:p>
        </w:tc>
        <w:tc>
          <w:tcPr>
            <w:tcW w:w="442" w:type="pct"/>
            <w:shd w:val="clear" w:color="auto" w:fill="CCCCCC"/>
            <w:tcMar>
              <w:left w:w="57" w:type="dxa"/>
              <w:right w:w="57" w:type="dxa"/>
            </w:tcMar>
          </w:tcPr>
          <w:p w:rsidR="00000000" w:rsidRDefault="00D35856">
            <w:pPr>
              <w:keepNext w:val="0"/>
              <w:widowControl w:val="0"/>
              <w:spacing w:after="40"/>
              <w:jc w:val="center"/>
              <w:rPr>
                <w:rFonts w:ascii="Arial" w:hAnsi="Arial" w:cs="Arial"/>
                <w:b/>
                <w:bCs/>
                <w:sz w:val="18"/>
                <w:szCs w:val="20"/>
              </w:rPr>
            </w:pPr>
            <w:r>
              <w:rPr>
                <w:rFonts w:ascii="Arial" w:hAnsi="Arial" w:cs="Arial"/>
                <w:b/>
                <w:bCs/>
                <w:sz w:val="18"/>
                <w:szCs w:val="20"/>
              </w:rPr>
              <w:t>LE</w:t>
            </w:r>
          </w:p>
        </w:tc>
        <w:tc>
          <w:tcPr>
            <w:tcW w:w="442" w:type="pct"/>
            <w:shd w:val="clear" w:color="auto" w:fill="CCCCCC"/>
            <w:tcMar>
              <w:left w:w="57" w:type="dxa"/>
              <w:right w:w="57" w:type="dxa"/>
            </w:tcMar>
          </w:tcPr>
          <w:p w:rsidR="00000000" w:rsidRDefault="00D35856">
            <w:pPr>
              <w:keepNext w:val="0"/>
              <w:widowControl w:val="0"/>
              <w:spacing w:after="40"/>
              <w:jc w:val="center"/>
              <w:rPr>
                <w:rFonts w:ascii="Arial" w:hAnsi="Arial" w:cs="Arial"/>
                <w:b/>
                <w:bCs/>
                <w:sz w:val="18"/>
                <w:szCs w:val="20"/>
              </w:rPr>
            </w:pPr>
            <w:r>
              <w:rPr>
                <w:rFonts w:ascii="Arial" w:hAnsi="Arial" w:cs="Arial"/>
                <w:b/>
                <w:bCs/>
                <w:sz w:val="18"/>
                <w:szCs w:val="20"/>
              </w:rPr>
              <w:t>S</w:t>
            </w:r>
          </w:p>
        </w:tc>
        <w:tc>
          <w:tcPr>
            <w:tcW w:w="442" w:type="pct"/>
            <w:shd w:val="clear" w:color="auto" w:fill="CCCCCC"/>
            <w:tcMar>
              <w:left w:w="57" w:type="dxa"/>
              <w:right w:w="57" w:type="dxa"/>
            </w:tcMar>
          </w:tcPr>
          <w:p w:rsidR="00000000" w:rsidRDefault="00D35856">
            <w:pPr>
              <w:keepNext w:val="0"/>
              <w:widowControl w:val="0"/>
              <w:spacing w:after="40"/>
              <w:jc w:val="center"/>
              <w:rPr>
                <w:rFonts w:ascii="Arial" w:hAnsi="Arial" w:cs="Arial"/>
                <w:b/>
                <w:bCs/>
                <w:sz w:val="18"/>
                <w:szCs w:val="20"/>
              </w:rPr>
            </w:pPr>
            <w:r>
              <w:rPr>
                <w:rFonts w:ascii="Arial" w:hAnsi="Arial" w:cs="Arial"/>
                <w:b/>
                <w:bCs/>
                <w:sz w:val="18"/>
                <w:szCs w:val="20"/>
              </w:rPr>
              <w:t>TE</w:t>
            </w:r>
          </w:p>
        </w:tc>
        <w:tc>
          <w:tcPr>
            <w:tcW w:w="442" w:type="pct"/>
            <w:shd w:val="clear" w:color="auto" w:fill="CCCCCC"/>
            <w:tcMar>
              <w:left w:w="57" w:type="dxa"/>
              <w:right w:w="57" w:type="dxa"/>
            </w:tcMar>
          </w:tcPr>
          <w:p w:rsidR="00000000" w:rsidRDefault="00D35856">
            <w:pPr>
              <w:keepNext w:val="0"/>
              <w:widowControl w:val="0"/>
              <w:spacing w:after="40"/>
              <w:jc w:val="center"/>
              <w:rPr>
                <w:rFonts w:ascii="Arial" w:hAnsi="Arial" w:cs="Arial"/>
                <w:b/>
                <w:bCs/>
                <w:sz w:val="18"/>
                <w:szCs w:val="20"/>
              </w:rPr>
            </w:pPr>
            <w:r>
              <w:rPr>
                <w:rFonts w:ascii="Arial" w:hAnsi="Arial" w:cs="Arial"/>
                <w:b/>
                <w:bCs/>
                <w:sz w:val="18"/>
                <w:szCs w:val="20"/>
              </w:rPr>
              <w:t>UE</w:t>
            </w:r>
          </w:p>
        </w:tc>
        <w:tc>
          <w:tcPr>
            <w:tcW w:w="440" w:type="pct"/>
            <w:shd w:val="clear" w:color="auto" w:fill="CCCCCC"/>
            <w:tcMar>
              <w:left w:w="57" w:type="dxa"/>
              <w:right w:w="57" w:type="dxa"/>
            </w:tcMar>
          </w:tcPr>
          <w:p w:rsidR="00000000" w:rsidRDefault="00D35856">
            <w:pPr>
              <w:keepNext w:val="0"/>
              <w:widowControl w:val="0"/>
              <w:spacing w:after="40"/>
              <w:jc w:val="center"/>
              <w:rPr>
                <w:rFonts w:ascii="Arial" w:hAnsi="Arial" w:cs="Arial"/>
                <w:b/>
                <w:bCs/>
                <w:sz w:val="18"/>
                <w:szCs w:val="20"/>
              </w:rPr>
            </w:pPr>
            <w:r>
              <w:rPr>
                <w:rFonts w:ascii="Arial" w:hAnsi="Arial" w:cs="Arial"/>
                <w:b/>
                <w:bCs/>
                <w:sz w:val="18"/>
                <w:szCs w:val="20"/>
              </w:rPr>
              <w:t>Total</w:t>
            </w:r>
          </w:p>
        </w:tc>
      </w:tr>
      <w:tr w:rsidR="00000000">
        <w:tc>
          <w:tcPr>
            <w:tcW w:w="1498" w:type="pct"/>
            <w:tcBorders>
              <w:right w:val="nil"/>
            </w:tcBorders>
            <w:tcMar>
              <w:left w:w="57" w:type="dxa"/>
              <w:right w:w="57" w:type="dxa"/>
            </w:tcMar>
            <w:vAlign w:val="center"/>
          </w:tcPr>
          <w:p w:rsidR="00000000" w:rsidRDefault="00D35856">
            <w:pPr>
              <w:keepNext w:val="0"/>
              <w:widowControl w:val="0"/>
              <w:spacing w:before="20" w:after="20"/>
              <w:rPr>
                <w:rFonts w:ascii="Arial" w:hAnsi="Arial" w:cs="Arial"/>
                <w:sz w:val="18"/>
                <w:szCs w:val="18"/>
              </w:rPr>
            </w:pPr>
            <w:r>
              <w:rPr>
                <w:rFonts w:ascii="Arial" w:hAnsi="Arial" w:cs="Arial"/>
                <w:sz w:val="18"/>
                <w:szCs w:val="18"/>
              </w:rPr>
              <w:t>Costs to 2005 to Nov 2007 based on actual registration numbers</w:t>
            </w:r>
          </w:p>
        </w:tc>
        <w:tc>
          <w:tcPr>
            <w:tcW w:w="410" w:type="pct"/>
            <w:tcBorders>
              <w:left w:val="nil"/>
            </w:tcBorders>
            <w:tcMar>
              <w:left w:w="57" w:type="dxa"/>
              <w:right w:w="57" w:type="dxa"/>
            </w:tcMar>
            <w:vAlign w:val="center"/>
          </w:tcPr>
          <w:p w:rsidR="00000000" w:rsidRDefault="00D35856">
            <w:pPr>
              <w:keepNext w:val="0"/>
              <w:widowControl w:val="0"/>
              <w:spacing w:before="20" w:after="20"/>
              <w:rPr>
                <w:rFonts w:ascii="Arial" w:hAnsi="Arial" w:cs="Arial"/>
                <w:sz w:val="18"/>
                <w:szCs w:val="18"/>
              </w:rPr>
            </w:pP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$354</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$296</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$197</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$381</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$689</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$56</w:t>
            </w:r>
          </w:p>
        </w:tc>
        <w:tc>
          <w:tcPr>
            <w:tcW w:w="440" w:type="pct"/>
            <w:tcMar>
              <w:left w:w="57" w:type="dxa"/>
              <w:right w:w="57" w:type="dxa"/>
            </w:tcMar>
          </w:tcPr>
          <w:p w:rsidR="00000000" w:rsidRDefault="00D35856">
            <w:pPr>
              <w:keepNext w:val="0"/>
              <w:widowControl w:val="0"/>
              <w:spacing w:before="20" w:after="20"/>
              <w:jc w:val="right"/>
              <w:rPr>
                <w:rFonts w:ascii="Arial" w:hAnsi="Arial" w:cs="Arial"/>
                <w:b/>
                <w:sz w:val="18"/>
                <w:szCs w:val="18"/>
              </w:rPr>
            </w:pPr>
            <w:r>
              <w:rPr>
                <w:rFonts w:ascii="Arial" w:hAnsi="Arial" w:cs="Arial"/>
                <w:b/>
                <w:sz w:val="18"/>
                <w:szCs w:val="18"/>
              </w:rPr>
              <w:t>$1,971</w:t>
            </w:r>
          </w:p>
        </w:tc>
      </w:tr>
      <w:tr w:rsidR="00000000">
        <w:tc>
          <w:tcPr>
            <w:tcW w:w="1498" w:type="pct"/>
            <w:tcBorders>
              <w:right w:val="nil"/>
            </w:tcBorders>
            <w:tcMar>
              <w:left w:w="57" w:type="dxa"/>
              <w:right w:w="57" w:type="dxa"/>
            </w:tcMar>
            <w:vAlign w:val="center"/>
          </w:tcPr>
          <w:p w:rsidR="00000000" w:rsidRDefault="00D35856">
            <w:pPr>
              <w:keepNext w:val="0"/>
              <w:widowControl w:val="0"/>
              <w:spacing w:before="20" w:after="20"/>
              <w:rPr>
                <w:rFonts w:ascii="Arial" w:hAnsi="Arial" w:cs="Arial"/>
                <w:sz w:val="6"/>
                <w:szCs w:val="6"/>
              </w:rPr>
            </w:pPr>
          </w:p>
        </w:tc>
        <w:tc>
          <w:tcPr>
            <w:tcW w:w="410" w:type="pct"/>
            <w:tcBorders>
              <w:left w:val="nil"/>
              <w:right w:val="nil"/>
            </w:tcBorders>
            <w:tcMar>
              <w:left w:w="57" w:type="dxa"/>
              <w:right w:w="57" w:type="dxa"/>
            </w:tcMar>
            <w:vAlign w:val="center"/>
          </w:tcPr>
          <w:p w:rsidR="00000000" w:rsidRDefault="00D35856">
            <w:pPr>
              <w:keepNext w:val="0"/>
              <w:widowControl w:val="0"/>
              <w:spacing w:before="20" w:after="20"/>
              <w:jc w:val="right"/>
              <w:rPr>
                <w:rFonts w:ascii="Arial" w:hAnsi="Arial" w:cs="Arial"/>
                <w:sz w:val="6"/>
                <w:szCs w:val="6"/>
              </w:rPr>
            </w:pPr>
          </w:p>
        </w:tc>
        <w:tc>
          <w:tcPr>
            <w:tcW w:w="442" w:type="pct"/>
            <w:tcBorders>
              <w:left w:val="nil"/>
              <w:right w:val="nil"/>
            </w:tcBorders>
            <w:tcMar>
              <w:left w:w="57" w:type="dxa"/>
              <w:right w:w="57" w:type="dxa"/>
            </w:tcMar>
          </w:tcPr>
          <w:p w:rsidR="00000000" w:rsidRDefault="00D35856">
            <w:pPr>
              <w:keepNext w:val="0"/>
              <w:widowControl w:val="0"/>
              <w:spacing w:before="20" w:after="20"/>
              <w:jc w:val="right"/>
              <w:rPr>
                <w:rFonts w:ascii="Arial" w:hAnsi="Arial" w:cs="Arial"/>
                <w:sz w:val="6"/>
                <w:szCs w:val="6"/>
              </w:rPr>
            </w:pPr>
          </w:p>
        </w:tc>
        <w:tc>
          <w:tcPr>
            <w:tcW w:w="442" w:type="pct"/>
            <w:tcBorders>
              <w:left w:val="nil"/>
              <w:right w:val="nil"/>
            </w:tcBorders>
            <w:tcMar>
              <w:left w:w="57" w:type="dxa"/>
              <w:right w:w="57" w:type="dxa"/>
            </w:tcMar>
          </w:tcPr>
          <w:p w:rsidR="00000000" w:rsidRDefault="00D35856">
            <w:pPr>
              <w:keepNext w:val="0"/>
              <w:widowControl w:val="0"/>
              <w:spacing w:before="20" w:after="20"/>
              <w:jc w:val="right"/>
              <w:rPr>
                <w:rFonts w:ascii="Arial" w:hAnsi="Arial" w:cs="Arial"/>
                <w:sz w:val="6"/>
                <w:szCs w:val="6"/>
              </w:rPr>
            </w:pPr>
          </w:p>
        </w:tc>
        <w:tc>
          <w:tcPr>
            <w:tcW w:w="442" w:type="pct"/>
            <w:tcBorders>
              <w:left w:val="nil"/>
              <w:right w:val="nil"/>
            </w:tcBorders>
            <w:tcMar>
              <w:left w:w="57" w:type="dxa"/>
              <w:right w:w="57" w:type="dxa"/>
            </w:tcMar>
          </w:tcPr>
          <w:p w:rsidR="00000000" w:rsidRDefault="00D35856">
            <w:pPr>
              <w:keepNext w:val="0"/>
              <w:widowControl w:val="0"/>
              <w:spacing w:before="20" w:after="20"/>
              <w:jc w:val="right"/>
              <w:rPr>
                <w:rFonts w:ascii="Arial" w:hAnsi="Arial" w:cs="Arial"/>
                <w:sz w:val="6"/>
                <w:szCs w:val="6"/>
              </w:rPr>
            </w:pPr>
          </w:p>
        </w:tc>
        <w:tc>
          <w:tcPr>
            <w:tcW w:w="442" w:type="pct"/>
            <w:tcBorders>
              <w:left w:val="nil"/>
              <w:right w:val="nil"/>
            </w:tcBorders>
            <w:tcMar>
              <w:left w:w="57" w:type="dxa"/>
              <w:right w:w="57" w:type="dxa"/>
            </w:tcMar>
          </w:tcPr>
          <w:p w:rsidR="00000000" w:rsidRDefault="00D35856">
            <w:pPr>
              <w:keepNext w:val="0"/>
              <w:widowControl w:val="0"/>
              <w:spacing w:before="20" w:after="20"/>
              <w:jc w:val="right"/>
              <w:rPr>
                <w:rFonts w:ascii="Arial" w:hAnsi="Arial" w:cs="Arial"/>
                <w:sz w:val="6"/>
                <w:szCs w:val="6"/>
              </w:rPr>
            </w:pPr>
          </w:p>
        </w:tc>
        <w:tc>
          <w:tcPr>
            <w:tcW w:w="442" w:type="pct"/>
            <w:tcBorders>
              <w:left w:val="nil"/>
              <w:right w:val="nil"/>
            </w:tcBorders>
            <w:tcMar>
              <w:left w:w="57" w:type="dxa"/>
              <w:right w:w="57" w:type="dxa"/>
            </w:tcMar>
          </w:tcPr>
          <w:p w:rsidR="00000000" w:rsidRDefault="00D35856">
            <w:pPr>
              <w:keepNext w:val="0"/>
              <w:widowControl w:val="0"/>
              <w:spacing w:before="20" w:after="20"/>
              <w:jc w:val="right"/>
              <w:rPr>
                <w:rFonts w:ascii="Arial" w:hAnsi="Arial" w:cs="Arial"/>
                <w:sz w:val="6"/>
                <w:szCs w:val="6"/>
              </w:rPr>
            </w:pPr>
          </w:p>
        </w:tc>
        <w:tc>
          <w:tcPr>
            <w:tcW w:w="442" w:type="pct"/>
            <w:tcBorders>
              <w:left w:val="nil"/>
              <w:right w:val="nil"/>
            </w:tcBorders>
            <w:tcMar>
              <w:left w:w="57" w:type="dxa"/>
              <w:right w:w="57" w:type="dxa"/>
            </w:tcMar>
          </w:tcPr>
          <w:p w:rsidR="00000000" w:rsidRDefault="00D35856">
            <w:pPr>
              <w:keepNext w:val="0"/>
              <w:widowControl w:val="0"/>
              <w:spacing w:before="20" w:after="20"/>
              <w:jc w:val="right"/>
              <w:rPr>
                <w:rFonts w:ascii="Arial" w:hAnsi="Arial" w:cs="Arial"/>
                <w:sz w:val="6"/>
                <w:szCs w:val="6"/>
              </w:rPr>
            </w:pPr>
          </w:p>
        </w:tc>
        <w:tc>
          <w:tcPr>
            <w:tcW w:w="440" w:type="pct"/>
            <w:tcBorders>
              <w:left w:val="nil"/>
            </w:tcBorders>
            <w:tcMar>
              <w:left w:w="57" w:type="dxa"/>
              <w:right w:w="57" w:type="dxa"/>
            </w:tcMar>
          </w:tcPr>
          <w:p w:rsidR="00000000" w:rsidRDefault="00D35856">
            <w:pPr>
              <w:keepNext w:val="0"/>
              <w:widowControl w:val="0"/>
              <w:spacing w:before="20" w:after="20"/>
              <w:jc w:val="right"/>
              <w:rPr>
                <w:rFonts w:ascii="Arial" w:hAnsi="Arial" w:cs="Arial"/>
                <w:b/>
                <w:sz w:val="6"/>
                <w:szCs w:val="6"/>
              </w:rPr>
            </w:pPr>
          </w:p>
        </w:tc>
      </w:tr>
      <w:tr w:rsidR="00000000">
        <w:tc>
          <w:tcPr>
            <w:tcW w:w="1498" w:type="pct"/>
            <w:vMerge w:val="restart"/>
            <w:tcBorders>
              <w:right w:val="nil"/>
            </w:tcBorders>
            <w:tcMar>
              <w:left w:w="57" w:type="dxa"/>
              <w:right w:w="57" w:type="dxa"/>
            </w:tcMar>
          </w:tcPr>
          <w:p w:rsidR="00000000" w:rsidRDefault="00D35856">
            <w:pPr>
              <w:keepNext w:val="0"/>
              <w:widowControl w:val="0"/>
              <w:spacing w:before="20" w:after="20"/>
              <w:rPr>
                <w:rFonts w:ascii="Arial" w:hAnsi="Arial" w:cs="Arial"/>
                <w:sz w:val="18"/>
                <w:szCs w:val="18"/>
              </w:rPr>
            </w:pPr>
            <w:r>
              <w:rPr>
                <w:rFonts w:ascii="Arial" w:hAnsi="Arial" w:cs="Arial"/>
                <w:sz w:val="18"/>
                <w:szCs w:val="18"/>
              </w:rPr>
              <w:t> Costs from Dec 2007 to 2020—2021 based on projected registration numbers</w:t>
            </w:r>
          </w:p>
        </w:tc>
        <w:tc>
          <w:tcPr>
            <w:tcW w:w="410" w:type="pct"/>
            <w:tcBorders>
              <w:left w:val="nil"/>
              <w:bottom w:val="nil"/>
            </w:tcBorders>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1.6%</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$813</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$542</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$591</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$372</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$1,538</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$144</w:t>
            </w:r>
          </w:p>
        </w:tc>
        <w:tc>
          <w:tcPr>
            <w:tcW w:w="440" w:type="pct"/>
            <w:tcMar>
              <w:left w:w="57" w:type="dxa"/>
              <w:right w:w="57" w:type="dxa"/>
            </w:tcMar>
          </w:tcPr>
          <w:p w:rsidR="00000000" w:rsidRDefault="00D35856">
            <w:pPr>
              <w:keepNext w:val="0"/>
              <w:widowControl w:val="0"/>
              <w:spacing w:before="20" w:after="20"/>
              <w:jc w:val="right"/>
              <w:rPr>
                <w:rFonts w:ascii="Arial" w:hAnsi="Arial" w:cs="Arial"/>
                <w:b/>
                <w:sz w:val="18"/>
                <w:szCs w:val="18"/>
              </w:rPr>
            </w:pPr>
            <w:r>
              <w:rPr>
                <w:rFonts w:ascii="Arial" w:hAnsi="Arial" w:cs="Arial"/>
                <w:b/>
                <w:sz w:val="18"/>
                <w:szCs w:val="18"/>
              </w:rPr>
              <w:t>$4,000</w:t>
            </w:r>
          </w:p>
        </w:tc>
      </w:tr>
      <w:tr w:rsidR="00000000">
        <w:tc>
          <w:tcPr>
            <w:tcW w:w="1498" w:type="pct"/>
            <w:vMerge/>
            <w:tcBorders>
              <w:right w:val="nil"/>
            </w:tcBorders>
            <w:tcMar>
              <w:left w:w="57" w:type="dxa"/>
              <w:right w:w="57" w:type="dxa"/>
            </w:tcMar>
            <w:vAlign w:val="center"/>
          </w:tcPr>
          <w:p w:rsidR="00000000" w:rsidRDefault="00D35856">
            <w:pPr>
              <w:keepNext w:val="0"/>
              <w:widowControl w:val="0"/>
              <w:spacing w:before="20" w:after="20"/>
              <w:rPr>
                <w:rFonts w:ascii="Arial" w:hAnsi="Arial" w:cs="Arial"/>
                <w:sz w:val="18"/>
                <w:szCs w:val="18"/>
              </w:rPr>
            </w:pPr>
          </w:p>
        </w:tc>
        <w:tc>
          <w:tcPr>
            <w:tcW w:w="410" w:type="pct"/>
            <w:tcBorders>
              <w:top w:val="nil"/>
              <w:left w:val="nil"/>
              <w:bottom w:val="nil"/>
            </w:tcBorders>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3.5%</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$710</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$473</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$514</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$327</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$1,336</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$127</w:t>
            </w:r>
          </w:p>
        </w:tc>
        <w:tc>
          <w:tcPr>
            <w:tcW w:w="440" w:type="pct"/>
            <w:tcMar>
              <w:left w:w="57" w:type="dxa"/>
              <w:right w:w="57" w:type="dxa"/>
            </w:tcMar>
          </w:tcPr>
          <w:p w:rsidR="00000000" w:rsidRDefault="00D35856">
            <w:pPr>
              <w:keepNext w:val="0"/>
              <w:widowControl w:val="0"/>
              <w:spacing w:before="20" w:after="20"/>
              <w:jc w:val="right"/>
              <w:rPr>
                <w:rFonts w:ascii="Arial" w:hAnsi="Arial" w:cs="Arial"/>
                <w:b/>
                <w:sz w:val="18"/>
                <w:szCs w:val="18"/>
              </w:rPr>
            </w:pPr>
            <w:r>
              <w:rPr>
                <w:rFonts w:ascii="Arial" w:hAnsi="Arial" w:cs="Arial"/>
                <w:b/>
                <w:sz w:val="18"/>
                <w:szCs w:val="18"/>
              </w:rPr>
              <w:t>$3,488</w:t>
            </w:r>
          </w:p>
        </w:tc>
      </w:tr>
      <w:tr w:rsidR="00000000">
        <w:tc>
          <w:tcPr>
            <w:tcW w:w="1498" w:type="pct"/>
            <w:vMerge/>
            <w:tcBorders>
              <w:right w:val="nil"/>
            </w:tcBorders>
            <w:tcMar>
              <w:left w:w="57" w:type="dxa"/>
              <w:right w:w="57" w:type="dxa"/>
            </w:tcMar>
            <w:vAlign w:val="center"/>
          </w:tcPr>
          <w:p w:rsidR="00000000" w:rsidRDefault="00D35856">
            <w:pPr>
              <w:keepNext w:val="0"/>
              <w:widowControl w:val="0"/>
              <w:spacing w:before="20" w:after="20"/>
              <w:rPr>
                <w:rFonts w:ascii="Arial" w:hAnsi="Arial" w:cs="Arial"/>
                <w:sz w:val="18"/>
                <w:szCs w:val="18"/>
              </w:rPr>
            </w:pPr>
          </w:p>
        </w:tc>
        <w:tc>
          <w:tcPr>
            <w:tcW w:w="410" w:type="pct"/>
            <w:tcBorders>
              <w:top w:val="nil"/>
              <w:left w:val="nil"/>
              <w:bottom w:val="nil"/>
            </w:tcBorders>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4%</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$686</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$457</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$497</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$317</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$1,289</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$123</w:t>
            </w:r>
          </w:p>
        </w:tc>
        <w:tc>
          <w:tcPr>
            <w:tcW w:w="440" w:type="pct"/>
            <w:tcMar>
              <w:left w:w="57" w:type="dxa"/>
              <w:right w:w="57" w:type="dxa"/>
            </w:tcMar>
          </w:tcPr>
          <w:p w:rsidR="00000000" w:rsidRDefault="00D35856">
            <w:pPr>
              <w:keepNext w:val="0"/>
              <w:widowControl w:val="0"/>
              <w:spacing w:before="20" w:after="20"/>
              <w:jc w:val="right"/>
              <w:rPr>
                <w:rFonts w:ascii="Arial" w:hAnsi="Arial" w:cs="Arial"/>
                <w:b/>
                <w:sz w:val="18"/>
                <w:szCs w:val="18"/>
              </w:rPr>
            </w:pPr>
            <w:r>
              <w:rPr>
                <w:rFonts w:ascii="Arial" w:hAnsi="Arial" w:cs="Arial"/>
                <w:b/>
                <w:sz w:val="18"/>
                <w:szCs w:val="18"/>
              </w:rPr>
              <w:t>$3,369</w:t>
            </w:r>
          </w:p>
        </w:tc>
      </w:tr>
      <w:tr w:rsidR="00000000">
        <w:tc>
          <w:tcPr>
            <w:tcW w:w="1498" w:type="pct"/>
            <w:vMerge/>
            <w:tcBorders>
              <w:right w:val="nil"/>
            </w:tcBorders>
            <w:tcMar>
              <w:left w:w="57" w:type="dxa"/>
              <w:right w:w="57" w:type="dxa"/>
            </w:tcMar>
            <w:vAlign w:val="center"/>
          </w:tcPr>
          <w:p w:rsidR="00000000" w:rsidRDefault="00D35856">
            <w:pPr>
              <w:keepNext w:val="0"/>
              <w:widowControl w:val="0"/>
              <w:spacing w:before="20" w:after="20"/>
              <w:rPr>
                <w:rFonts w:ascii="Arial" w:hAnsi="Arial" w:cs="Arial"/>
                <w:sz w:val="6"/>
                <w:szCs w:val="6"/>
              </w:rPr>
            </w:pPr>
          </w:p>
        </w:tc>
        <w:tc>
          <w:tcPr>
            <w:tcW w:w="410" w:type="pct"/>
            <w:tcBorders>
              <w:top w:val="nil"/>
              <w:left w:val="nil"/>
              <w:bottom w:val="nil"/>
            </w:tcBorders>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7%</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$564</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$376</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$406</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$264</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$1,050</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$103</w:t>
            </w:r>
          </w:p>
        </w:tc>
        <w:tc>
          <w:tcPr>
            <w:tcW w:w="440" w:type="pct"/>
            <w:tcMar>
              <w:left w:w="57" w:type="dxa"/>
              <w:right w:w="57" w:type="dxa"/>
            </w:tcMar>
          </w:tcPr>
          <w:p w:rsidR="00000000" w:rsidRDefault="00D35856">
            <w:pPr>
              <w:keepNext w:val="0"/>
              <w:widowControl w:val="0"/>
              <w:spacing w:before="20" w:after="20"/>
              <w:jc w:val="right"/>
              <w:rPr>
                <w:rFonts w:ascii="Arial" w:hAnsi="Arial" w:cs="Arial"/>
                <w:b/>
                <w:sz w:val="18"/>
                <w:szCs w:val="18"/>
              </w:rPr>
            </w:pPr>
            <w:r>
              <w:rPr>
                <w:rFonts w:ascii="Arial" w:hAnsi="Arial" w:cs="Arial"/>
                <w:b/>
                <w:sz w:val="18"/>
                <w:szCs w:val="18"/>
              </w:rPr>
              <w:t>$2,763</w:t>
            </w:r>
          </w:p>
        </w:tc>
      </w:tr>
      <w:tr w:rsidR="00000000">
        <w:tc>
          <w:tcPr>
            <w:tcW w:w="1498" w:type="pct"/>
            <w:vMerge/>
            <w:tcBorders>
              <w:right w:val="nil"/>
            </w:tcBorders>
            <w:tcMar>
              <w:left w:w="57" w:type="dxa"/>
              <w:right w:w="57" w:type="dxa"/>
            </w:tcMar>
            <w:vAlign w:val="center"/>
          </w:tcPr>
          <w:p w:rsidR="00000000" w:rsidRDefault="00D35856">
            <w:pPr>
              <w:keepNext w:val="0"/>
              <w:widowControl w:val="0"/>
              <w:spacing w:before="20" w:after="20"/>
              <w:rPr>
                <w:rFonts w:ascii="Arial" w:hAnsi="Arial" w:cs="Arial"/>
                <w:b/>
                <w:sz w:val="18"/>
                <w:szCs w:val="18"/>
              </w:rPr>
            </w:pPr>
          </w:p>
        </w:tc>
        <w:tc>
          <w:tcPr>
            <w:tcW w:w="410" w:type="pct"/>
            <w:tcBorders>
              <w:top w:val="nil"/>
              <w:left w:val="nil"/>
            </w:tcBorders>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10%</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$472</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$314</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$337</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$223</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$870</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$88</w:t>
            </w:r>
          </w:p>
        </w:tc>
        <w:tc>
          <w:tcPr>
            <w:tcW w:w="440" w:type="pct"/>
            <w:tcMar>
              <w:left w:w="57" w:type="dxa"/>
              <w:right w:w="57" w:type="dxa"/>
            </w:tcMar>
          </w:tcPr>
          <w:p w:rsidR="00000000" w:rsidRDefault="00D35856">
            <w:pPr>
              <w:keepNext w:val="0"/>
              <w:widowControl w:val="0"/>
              <w:spacing w:before="20" w:after="20"/>
              <w:jc w:val="right"/>
              <w:rPr>
                <w:rFonts w:ascii="Arial" w:hAnsi="Arial" w:cs="Arial"/>
                <w:b/>
                <w:sz w:val="18"/>
                <w:szCs w:val="18"/>
              </w:rPr>
            </w:pPr>
            <w:r>
              <w:rPr>
                <w:rFonts w:ascii="Arial" w:hAnsi="Arial" w:cs="Arial"/>
                <w:b/>
                <w:sz w:val="18"/>
                <w:szCs w:val="18"/>
              </w:rPr>
              <w:t>$2,304</w:t>
            </w:r>
          </w:p>
        </w:tc>
      </w:tr>
      <w:tr w:rsidR="00000000">
        <w:tc>
          <w:tcPr>
            <w:tcW w:w="1498" w:type="pct"/>
            <w:tcBorders>
              <w:right w:val="nil"/>
            </w:tcBorders>
            <w:tcMar>
              <w:left w:w="57" w:type="dxa"/>
              <w:right w:w="57" w:type="dxa"/>
            </w:tcMar>
            <w:vAlign w:val="center"/>
          </w:tcPr>
          <w:p w:rsidR="00000000" w:rsidRDefault="00D35856">
            <w:pPr>
              <w:keepNext w:val="0"/>
              <w:widowControl w:val="0"/>
              <w:spacing w:before="20" w:after="20"/>
              <w:rPr>
                <w:rFonts w:ascii="Arial" w:hAnsi="Arial" w:cs="Arial"/>
                <w:b/>
                <w:sz w:val="6"/>
                <w:szCs w:val="6"/>
              </w:rPr>
            </w:pPr>
          </w:p>
        </w:tc>
        <w:tc>
          <w:tcPr>
            <w:tcW w:w="410" w:type="pct"/>
            <w:tcBorders>
              <w:left w:val="nil"/>
              <w:right w:val="nil"/>
            </w:tcBorders>
            <w:tcMar>
              <w:left w:w="57" w:type="dxa"/>
              <w:right w:w="57" w:type="dxa"/>
            </w:tcMar>
            <w:vAlign w:val="center"/>
          </w:tcPr>
          <w:p w:rsidR="00000000" w:rsidRDefault="00D35856">
            <w:pPr>
              <w:keepNext w:val="0"/>
              <w:widowControl w:val="0"/>
              <w:spacing w:before="20" w:after="20"/>
              <w:rPr>
                <w:rFonts w:ascii="Arial" w:hAnsi="Arial" w:cs="Arial"/>
                <w:sz w:val="6"/>
                <w:szCs w:val="6"/>
              </w:rPr>
            </w:pPr>
          </w:p>
        </w:tc>
        <w:tc>
          <w:tcPr>
            <w:tcW w:w="442" w:type="pct"/>
            <w:tcBorders>
              <w:left w:val="nil"/>
              <w:right w:val="nil"/>
            </w:tcBorders>
            <w:tcMar>
              <w:left w:w="57" w:type="dxa"/>
              <w:right w:w="57" w:type="dxa"/>
            </w:tcMar>
          </w:tcPr>
          <w:p w:rsidR="00000000" w:rsidRDefault="00D35856">
            <w:pPr>
              <w:keepNext w:val="0"/>
              <w:widowControl w:val="0"/>
              <w:spacing w:before="20" w:after="20"/>
              <w:jc w:val="right"/>
              <w:rPr>
                <w:rFonts w:ascii="Arial" w:hAnsi="Arial" w:cs="Arial"/>
                <w:sz w:val="6"/>
                <w:szCs w:val="6"/>
              </w:rPr>
            </w:pPr>
          </w:p>
        </w:tc>
        <w:tc>
          <w:tcPr>
            <w:tcW w:w="442" w:type="pct"/>
            <w:tcBorders>
              <w:left w:val="nil"/>
              <w:right w:val="nil"/>
            </w:tcBorders>
            <w:tcMar>
              <w:left w:w="57" w:type="dxa"/>
              <w:right w:w="57" w:type="dxa"/>
            </w:tcMar>
          </w:tcPr>
          <w:p w:rsidR="00000000" w:rsidRDefault="00D35856">
            <w:pPr>
              <w:keepNext w:val="0"/>
              <w:widowControl w:val="0"/>
              <w:spacing w:before="20" w:after="20"/>
              <w:jc w:val="right"/>
              <w:rPr>
                <w:rFonts w:ascii="Arial" w:hAnsi="Arial" w:cs="Arial"/>
                <w:sz w:val="6"/>
                <w:szCs w:val="6"/>
              </w:rPr>
            </w:pPr>
          </w:p>
        </w:tc>
        <w:tc>
          <w:tcPr>
            <w:tcW w:w="442" w:type="pct"/>
            <w:tcBorders>
              <w:left w:val="nil"/>
              <w:right w:val="nil"/>
            </w:tcBorders>
            <w:tcMar>
              <w:left w:w="57" w:type="dxa"/>
              <w:right w:w="57" w:type="dxa"/>
            </w:tcMar>
          </w:tcPr>
          <w:p w:rsidR="00000000" w:rsidRDefault="00D35856">
            <w:pPr>
              <w:keepNext w:val="0"/>
              <w:widowControl w:val="0"/>
              <w:spacing w:before="20" w:after="20"/>
              <w:jc w:val="right"/>
              <w:rPr>
                <w:rFonts w:ascii="Arial" w:hAnsi="Arial" w:cs="Arial"/>
                <w:sz w:val="6"/>
                <w:szCs w:val="6"/>
              </w:rPr>
            </w:pPr>
          </w:p>
        </w:tc>
        <w:tc>
          <w:tcPr>
            <w:tcW w:w="442" w:type="pct"/>
            <w:tcBorders>
              <w:left w:val="nil"/>
              <w:right w:val="nil"/>
            </w:tcBorders>
            <w:tcMar>
              <w:left w:w="57" w:type="dxa"/>
              <w:right w:w="57" w:type="dxa"/>
            </w:tcMar>
          </w:tcPr>
          <w:p w:rsidR="00000000" w:rsidRDefault="00D35856">
            <w:pPr>
              <w:keepNext w:val="0"/>
              <w:widowControl w:val="0"/>
              <w:spacing w:before="20" w:after="20"/>
              <w:jc w:val="right"/>
              <w:rPr>
                <w:rFonts w:ascii="Arial" w:hAnsi="Arial" w:cs="Arial"/>
                <w:sz w:val="6"/>
                <w:szCs w:val="6"/>
              </w:rPr>
            </w:pPr>
          </w:p>
        </w:tc>
        <w:tc>
          <w:tcPr>
            <w:tcW w:w="442" w:type="pct"/>
            <w:tcBorders>
              <w:left w:val="nil"/>
              <w:right w:val="nil"/>
            </w:tcBorders>
            <w:tcMar>
              <w:left w:w="57" w:type="dxa"/>
              <w:right w:w="57" w:type="dxa"/>
            </w:tcMar>
          </w:tcPr>
          <w:p w:rsidR="00000000" w:rsidRDefault="00D35856">
            <w:pPr>
              <w:keepNext w:val="0"/>
              <w:widowControl w:val="0"/>
              <w:spacing w:before="20" w:after="20"/>
              <w:jc w:val="right"/>
              <w:rPr>
                <w:rFonts w:ascii="Arial" w:hAnsi="Arial" w:cs="Arial"/>
                <w:sz w:val="6"/>
                <w:szCs w:val="6"/>
              </w:rPr>
            </w:pPr>
          </w:p>
        </w:tc>
        <w:tc>
          <w:tcPr>
            <w:tcW w:w="442" w:type="pct"/>
            <w:tcBorders>
              <w:left w:val="nil"/>
              <w:right w:val="nil"/>
            </w:tcBorders>
            <w:tcMar>
              <w:left w:w="57" w:type="dxa"/>
              <w:right w:w="57" w:type="dxa"/>
            </w:tcMar>
          </w:tcPr>
          <w:p w:rsidR="00000000" w:rsidRDefault="00D35856">
            <w:pPr>
              <w:keepNext w:val="0"/>
              <w:widowControl w:val="0"/>
              <w:spacing w:before="20" w:after="20"/>
              <w:jc w:val="right"/>
              <w:rPr>
                <w:rFonts w:ascii="Arial" w:hAnsi="Arial" w:cs="Arial"/>
                <w:sz w:val="6"/>
                <w:szCs w:val="6"/>
              </w:rPr>
            </w:pPr>
          </w:p>
        </w:tc>
        <w:tc>
          <w:tcPr>
            <w:tcW w:w="440" w:type="pct"/>
            <w:tcBorders>
              <w:left w:val="nil"/>
            </w:tcBorders>
            <w:tcMar>
              <w:left w:w="57" w:type="dxa"/>
              <w:right w:w="57" w:type="dxa"/>
            </w:tcMar>
          </w:tcPr>
          <w:p w:rsidR="00000000" w:rsidRDefault="00D35856">
            <w:pPr>
              <w:keepNext w:val="0"/>
              <w:widowControl w:val="0"/>
              <w:spacing w:before="20" w:after="20"/>
              <w:jc w:val="right"/>
              <w:rPr>
                <w:rFonts w:ascii="Arial" w:hAnsi="Arial" w:cs="Arial"/>
                <w:b/>
                <w:sz w:val="6"/>
                <w:szCs w:val="6"/>
              </w:rPr>
            </w:pPr>
          </w:p>
        </w:tc>
      </w:tr>
      <w:tr w:rsidR="00000000">
        <w:tc>
          <w:tcPr>
            <w:tcW w:w="1498" w:type="pct"/>
            <w:tcBorders>
              <w:bottom w:val="nil"/>
              <w:right w:val="nil"/>
            </w:tcBorders>
            <w:tcMar>
              <w:left w:w="57" w:type="dxa"/>
              <w:right w:w="57" w:type="dxa"/>
            </w:tcMar>
            <w:vAlign w:val="center"/>
          </w:tcPr>
          <w:p w:rsidR="00000000" w:rsidRDefault="00D35856">
            <w:pPr>
              <w:keepNext w:val="0"/>
              <w:widowControl w:val="0"/>
              <w:spacing w:before="20" w:after="20"/>
              <w:rPr>
                <w:rFonts w:ascii="Arial" w:hAnsi="Arial" w:cs="Arial"/>
                <w:sz w:val="18"/>
                <w:szCs w:val="18"/>
              </w:rPr>
            </w:pPr>
            <w:r>
              <w:rPr>
                <w:rFonts w:ascii="Arial" w:hAnsi="Arial" w:cs="Arial"/>
                <w:b/>
                <w:sz w:val="18"/>
                <w:szCs w:val="18"/>
              </w:rPr>
              <w:t>Total</w:t>
            </w:r>
          </w:p>
        </w:tc>
        <w:tc>
          <w:tcPr>
            <w:tcW w:w="410" w:type="pct"/>
            <w:tcBorders>
              <w:left w:val="nil"/>
              <w:bottom w:val="nil"/>
            </w:tcBorders>
            <w:tcMar>
              <w:left w:w="57" w:type="dxa"/>
              <w:right w:w="57" w:type="dxa"/>
            </w:tcMar>
            <w:vAlign w:val="center"/>
          </w:tcPr>
          <w:p w:rsidR="00000000" w:rsidRDefault="00D35856">
            <w:pPr>
              <w:keepNext w:val="0"/>
              <w:widowControl w:val="0"/>
              <w:spacing w:before="20" w:after="20"/>
              <w:jc w:val="right"/>
              <w:rPr>
                <w:rFonts w:ascii="Arial" w:hAnsi="Arial" w:cs="Arial"/>
                <w:bCs/>
                <w:sz w:val="18"/>
                <w:szCs w:val="18"/>
              </w:rPr>
            </w:pPr>
            <w:r>
              <w:rPr>
                <w:rFonts w:ascii="Arial" w:hAnsi="Arial" w:cs="Arial"/>
                <w:bCs/>
                <w:sz w:val="18"/>
                <w:szCs w:val="18"/>
              </w:rPr>
              <w:t>1.6%</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$1,167</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$837</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$788</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$753</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$2,227</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$199</w:t>
            </w:r>
          </w:p>
        </w:tc>
        <w:tc>
          <w:tcPr>
            <w:tcW w:w="440" w:type="pct"/>
            <w:tcMar>
              <w:left w:w="57" w:type="dxa"/>
              <w:right w:w="57" w:type="dxa"/>
            </w:tcMar>
          </w:tcPr>
          <w:p w:rsidR="00000000" w:rsidRDefault="00D35856">
            <w:pPr>
              <w:keepNext w:val="0"/>
              <w:widowControl w:val="0"/>
              <w:spacing w:before="20" w:after="20"/>
              <w:jc w:val="right"/>
              <w:rPr>
                <w:rFonts w:ascii="Arial" w:hAnsi="Arial" w:cs="Arial"/>
                <w:b/>
                <w:sz w:val="18"/>
                <w:szCs w:val="18"/>
              </w:rPr>
            </w:pPr>
            <w:r>
              <w:rPr>
                <w:rFonts w:ascii="Arial" w:hAnsi="Arial" w:cs="Arial"/>
                <w:b/>
                <w:sz w:val="18"/>
                <w:szCs w:val="18"/>
              </w:rPr>
              <w:t>$5,971</w:t>
            </w:r>
          </w:p>
        </w:tc>
      </w:tr>
      <w:tr w:rsidR="00000000">
        <w:tc>
          <w:tcPr>
            <w:tcW w:w="1498" w:type="pct"/>
            <w:tcBorders>
              <w:top w:val="nil"/>
              <w:bottom w:val="nil"/>
              <w:right w:val="nil"/>
            </w:tcBorders>
            <w:tcMar>
              <w:left w:w="57" w:type="dxa"/>
              <w:right w:w="57" w:type="dxa"/>
            </w:tcMar>
            <w:vAlign w:val="center"/>
          </w:tcPr>
          <w:p w:rsidR="00000000" w:rsidRDefault="00D35856">
            <w:pPr>
              <w:keepNext w:val="0"/>
              <w:widowControl w:val="0"/>
              <w:spacing w:before="20" w:after="20"/>
              <w:rPr>
                <w:rFonts w:ascii="Arial" w:hAnsi="Arial" w:cs="Arial"/>
                <w:sz w:val="18"/>
                <w:szCs w:val="18"/>
              </w:rPr>
            </w:pPr>
          </w:p>
        </w:tc>
        <w:tc>
          <w:tcPr>
            <w:tcW w:w="410" w:type="pct"/>
            <w:tcBorders>
              <w:top w:val="nil"/>
              <w:left w:val="nil"/>
              <w:bottom w:val="nil"/>
            </w:tcBorders>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3.5%</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$1,064</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$769</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$711</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$708</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$2,025</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$182</w:t>
            </w:r>
          </w:p>
        </w:tc>
        <w:tc>
          <w:tcPr>
            <w:tcW w:w="440" w:type="pct"/>
            <w:tcMar>
              <w:left w:w="57" w:type="dxa"/>
              <w:right w:w="57" w:type="dxa"/>
            </w:tcMar>
          </w:tcPr>
          <w:p w:rsidR="00000000" w:rsidRDefault="00D35856">
            <w:pPr>
              <w:keepNext w:val="0"/>
              <w:widowControl w:val="0"/>
              <w:spacing w:before="20" w:after="20"/>
              <w:jc w:val="right"/>
              <w:rPr>
                <w:rFonts w:ascii="Arial" w:hAnsi="Arial" w:cs="Arial"/>
                <w:b/>
                <w:sz w:val="18"/>
                <w:szCs w:val="18"/>
              </w:rPr>
            </w:pPr>
            <w:r>
              <w:rPr>
                <w:rFonts w:ascii="Arial" w:hAnsi="Arial" w:cs="Arial"/>
                <w:b/>
                <w:sz w:val="18"/>
                <w:szCs w:val="18"/>
              </w:rPr>
              <w:t>$5,459</w:t>
            </w:r>
          </w:p>
        </w:tc>
      </w:tr>
      <w:tr w:rsidR="00000000">
        <w:tc>
          <w:tcPr>
            <w:tcW w:w="1498" w:type="pct"/>
            <w:tcBorders>
              <w:top w:val="nil"/>
              <w:bottom w:val="nil"/>
              <w:right w:val="nil"/>
            </w:tcBorders>
            <w:tcMar>
              <w:left w:w="57" w:type="dxa"/>
              <w:right w:w="57" w:type="dxa"/>
            </w:tcMar>
            <w:vAlign w:val="center"/>
          </w:tcPr>
          <w:p w:rsidR="00000000" w:rsidRDefault="00D35856">
            <w:pPr>
              <w:keepNext w:val="0"/>
              <w:widowControl w:val="0"/>
              <w:spacing w:before="20" w:after="20"/>
              <w:rPr>
                <w:rFonts w:ascii="Arial" w:hAnsi="Arial" w:cs="Arial"/>
                <w:sz w:val="18"/>
                <w:szCs w:val="18"/>
              </w:rPr>
            </w:pPr>
            <w:r>
              <w:rPr>
                <w:rFonts w:ascii="Arial" w:hAnsi="Arial" w:cs="Arial"/>
                <w:sz w:val="18"/>
                <w:szCs w:val="18"/>
              </w:rPr>
              <w:t> </w:t>
            </w:r>
          </w:p>
        </w:tc>
        <w:tc>
          <w:tcPr>
            <w:tcW w:w="410" w:type="pct"/>
            <w:tcBorders>
              <w:top w:val="nil"/>
              <w:left w:val="nil"/>
              <w:bottom w:val="nil"/>
            </w:tcBorders>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4%</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$1,040</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$753</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$693</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$698</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$1,978</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$179</w:t>
            </w:r>
          </w:p>
        </w:tc>
        <w:tc>
          <w:tcPr>
            <w:tcW w:w="440" w:type="pct"/>
            <w:tcMar>
              <w:left w:w="57" w:type="dxa"/>
              <w:right w:w="57" w:type="dxa"/>
            </w:tcMar>
          </w:tcPr>
          <w:p w:rsidR="00000000" w:rsidRDefault="00D35856">
            <w:pPr>
              <w:keepNext w:val="0"/>
              <w:widowControl w:val="0"/>
              <w:spacing w:before="20" w:after="20"/>
              <w:jc w:val="right"/>
              <w:rPr>
                <w:rFonts w:ascii="Arial" w:hAnsi="Arial" w:cs="Arial"/>
                <w:b/>
                <w:sz w:val="18"/>
                <w:szCs w:val="18"/>
              </w:rPr>
            </w:pPr>
            <w:r>
              <w:rPr>
                <w:rFonts w:ascii="Arial" w:hAnsi="Arial" w:cs="Arial"/>
                <w:b/>
                <w:sz w:val="18"/>
                <w:szCs w:val="18"/>
              </w:rPr>
              <w:t>$5,340</w:t>
            </w:r>
          </w:p>
        </w:tc>
      </w:tr>
      <w:tr w:rsidR="00000000">
        <w:tc>
          <w:tcPr>
            <w:tcW w:w="1498" w:type="pct"/>
            <w:tcBorders>
              <w:top w:val="nil"/>
              <w:bottom w:val="nil"/>
              <w:right w:val="nil"/>
            </w:tcBorders>
            <w:tcMar>
              <w:left w:w="57" w:type="dxa"/>
              <w:right w:w="57" w:type="dxa"/>
            </w:tcMar>
            <w:vAlign w:val="center"/>
          </w:tcPr>
          <w:p w:rsidR="00000000" w:rsidRDefault="00D35856">
            <w:pPr>
              <w:keepNext w:val="0"/>
              <w:widowControl w:val="0"/>
              <w:spacing w:before="20" w:after="20"/>
              <w:rPr>
                <w:rFonts w:ascii="Arial" w:hAnsi="Arial" w:cs="Arial"/>
                <w:sz w:val="18"/>
                <w:szCs w:val="18"/>
              </w:rPr>
            </w:pPr>
          </w:p>
        </w:tc>
        <w:tc>
          <w:tcPr>
            <w:tcW w:w="410" w:type="pct"/>
            <w:tcBorders>
              <w:top w:val="nil"/>
              <w:left w:val="nil"/>
              <w:bottom w:val="nil"/>
            </w:tcBorders>
            <w:tcMar>
              <w:left w:w="57" w:type="dxa"/>
              <w:right w:w="57" w:type="dxa"/>
            </w:tcMar>
            <w:vAlign w:val="center"/>
          </w:tcPr>
          <w:p w:rsidR="00000000" w:rsidRDefault="00D35856">
            <w:pPr>
              <w:keepNext w:val="0"/>
              <w:widowControl w:val="0"/>
              <w:spacing w:before="20" w:after="20"/>
              <w:jc w:val="right"/>
              <w:rPr>
                <w:rFonts w:ascii="Arial" w:hAnsi="Arial" w:cs="Arial"/>
                <w:bCs/>
                <w:sz w:val="18"/>
                <w:szCs w:val="18"/>
              </w:rPr>
            </w:pPr>
            <w:r>
              <w:rPr>
                <w:rFonts w:ascii="Arial" w:hAnsi="Arial" w:cs="Arial"/>
                <w:bCs/>
                <w:sz w:val="18"/>
                <w:szCs w:val="18"/>
              </w:rPr>
              <w:t>7%</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$918</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$672</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$602</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$645</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$1,739</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$159</w:t>
            </w:r>
          </w:p>
        </w:tc>
        <w:tc>
          <w:tcPr>
            <w:tcW w:w="440" w:type="pct"/>
            <w:tcMar>
              <w:left w:w="57" w:type="dxa"/>
              <w:right w:w="57" w:type="dxa"/>
            </w:tcMar>
          </w:tcPr>
          <w:p w:rsidR="00000000" w:rsidRDefault="00D35856">
            <w:pPr>
              <w:keepNext w:val="0"/>
              <w:widowControl w:val="0"/>
              <w:spacing w:before="20" w:after="20"/>
              <w:jc w:val="right"/>
              <w:rPr>
                <w:rFonts w:ascii="Arial" w:hAnsi="Arial" w:cs="Arial"/>
                <w:b/>
                <w:sz w:val="18"/>
                <w:szCs w:val="18"/>
              </w:rPr>
            </w:pPr>
            <w:r>
              <w:rPr>
                <w:rFonts w:ascii="Arial" w:hAnsi="Arial" w:cs="Arial"/>
                <w:b/>
                <w:sz w:val="18"/>
                <w:szCs w:val="18"/>
              </w:rPr>
              <w:t>$4,734</w:t>
            </w:r>
          </w:p>
        </w:tc>
      </w:tr>
      <w:tr w:rsidR="00000000">
        <w:tc>
          <w:tcPr>
            <w:tcW w:w="1498" w:type="pct"/>
            <w:tcBorders>
              <w:top w:val="nil"/>
              <w:right w:val="nil"/>
            </w:tcBorders>
            <w:tcMar>
              <w:left w:w="57" w:type="dxa"/>
              <w:right w:w="57" w:type="dxa"/>
            </w:tcMar>
            <w:vAlign w:val="center"/>
          </w:tcPr>
          <w:p w:rsidR="00000000" w:rsidRDefault="00D35856">
            <w:pPr>
              <w:keepNext w:val="0"/>
              <w:widowControl w:val="0"/>
              <w:spacing w:before="20" w:after="20"/>
              <w:rPr>
                <w:rFonts w:ascii="Arial" w:hAnsi="Arial" w:cs="Arial"/>
                <w:sz w:val="18"/>
                <w:szCs w:val="18"/>
              </w:rPr>
            </w:pPr>
          </w:p>
        </w:tc>
        <w:tc>
          <w:tcPr>
            <w:tcW w:w="410" w:type="pct"/>
            <w:tcBorders>
              <w:top w:val="nil"/>
              <w:left w:val="nil"/>
            </w:tcBorders>
            <w:tcMar>
              <w:left w:w="57" w:type="dxa"/>
              <w:right w:w="57" w:type="dxa"/>
            </w:tcMar>
            <w:vAlign w:val="center"/>
          </w:tcPr>
          <w:p w:rsidR="00000000" w:rsidRDefault="00D35856">
            <w:pPr>
              <w:keepNext w:val="0"/>
              <w:widowControl w:val="0"/>
              <w:spacing w:before="20" w:after="20"/>
              <w:jc w:val="right"/>
              <w:rPr>
                <w:rFonts w:ascii="Arial" w:hAnsi="Arial" w:cs="Arial"/>
                <w:bCs/>
                <w:sz w:val="18"/>
                <w:szCs w:val="18"/>
              </w:rPr>
            </w:pPr>
            <w:r>
              <w:rPr>
                <w:rFonts w:ascii="Arial" w:hAnsi="Arial" w:cs="Arial"/>
                <w:bCs/>
                <w:sz w:val="18"/>
                <w:szCs w:val="18"/>
              </w:rPr>
              <w:t>10%</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$826</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$610</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$534</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$604</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$1,558</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$144</w:t>
            </w:r>
          </w:p>
        </w:tc>
        <w:tc>
          <w:tcPr>
            <w:tcW w:w="440" w:type="pct"/>
            <w:tcMar>
              <w:left w:w="57" w:type="dxa"/>
              <w:right w:w="57" w:type="dxa"/>
            </w:tcMar>
          </w:tcPr>
          <w:p w:rsidR="00000000" w:rsidRDefault="00D35856">
            <w:pPr>
              <w:keepNext w:val="0"/>
              <w:widowControl w:val="0"/>
              <w:spacing w:before="20" w:after="20"/>
              <w:jc w:val="right"/>
              <w:rPr>
                <w:rFonts w:ascii="Arial" w:hAnsi="Arial" w:cs="Arial"/>
                <w:b/>
                <w:sz w:val="18"/>
                <w:szCs w:val="18"/>
              </w:rPr>
            </w:pPr>
            <w:r>
              <w:rPr>
                <w:rFonts w:ascii="Arial" w:hAnsi="Arial" w:cs="Arial"/>
                <w:b/>
                <w:sz w:val="18"/>
                <w:szCs w:val="18"/>
              </w:rPr>
              <w:t>$4,275</w:t>
            </w:r>
          </w:p>
        </w:tc>
      </w:tr>
    </w:tbl>
    <w:p w:rsidR="00000000" w:rsidRDefault="00D35856">
      <w:pPr>
        <w:keepNext w:val="0"/>
        <w:widowControl w:val="0"/>
        <w:spacing w:after="0"/>
        <w:rPr>
          <w:sz w:val="18"/>
          <w:szCs w:val="18"/>
        </w:rPr>
      </w:pPr>
      <w:r>
        <w:rPr>
          <w:sz w:val="18"/>
          <w:szCs w:val="18"/>
        </w:rPr>
        <w:t>See list of Abbreviations on page ix for acronyms.</w:t>
      </w:r>
    </w:p>
    <w:p w:rsidR="00000000" w:rsidRDefault="00D35856">
      <w:pPr>
        <w:keepNext w:val="0"/>
      </w:pPr>
    </w:p>
    <w:tbl>
      <w:tblPr>
        <w:tblStyle w:val="TableGrid"/>
        <w:tblW w:w="0" w:type="auto"/>
        <w:tblLook w:val="01E0"/>
      </w:tblPr>
      <w:tblGrid>
        <w:gridCol w:w="8714"/>
      </w:tblGrid>
      <w:tr w:rsidR="00000000">
        <w:tc>
          <w:tcPr>
            <w:tcW w:w="8714" w:type="dxa"/>
          </w:tcPr>
          <w:p w:rsidR="00000000" w:rsidRDefault="00D35856">
            <w:pPr>
              <w:keepNext w:val="0"/>
              <w:widowControl w:val="0"/>
              <w:rPr>
                <w:rFonts w:ascii="Arial" w:hAnsi="Arial" w:cs="Arial"/>
                <w:b/>
                <w:szCs w:val="19"/>
              </w:rPr>
            </w:pPr>
            <w:r>
              <w:rPr>
                <w:rFonts w:ascii="Arial" w:hAnsi="Arial" w:cs="Arial"/>
                <w:b/>
                <w:szCs w:val="19"/>
              </w:rPr>
              <w:lastRenderedPageBreak/>
              <w:t>Parameter sensitivity: fees per registration</w:t>
            </w:r>
          </w:p>
          <w:p w:rsidR="00000000" w:rsidRDefault="00D35856">
            <w:pPr>
              <w:keepNext w:val="0"/>
              <w:rPr>
                <w:rFonts w:ascii="Arial" w:hAnsi="Arial" w:cs="Arial"/>
                <w:szCs w:val="19"/>
              </w:rPr>
            </w:pPr>
            <w:r>
              <w:rPr>
                <w:rFonts w:ascii="Arial" w:hAnsi="Arial" w:cs="Arial"/>
                <w:szCs w:val="19"/>
              </w:rPr>
              <w:t>Estimations of registration fees / revenue depend on the structure and size of the registration fee. In turn, the registration fee structure could influence the number of registrations. It is beyond the scope of this study to analyse all possible future fe</w:t>
            </w:r>
            <w:r>
              <w:rPr>
                <w:rFonts w:ascii="Arial" w:hAnsi="Arial" w:cs="Arial"/>
                <w:szCs w:val="19"/>
              </w:rPr>
              <w:t xml:space="preserve">e structures. </w:t>
            </w:r>
          </w:p>
          <w:p w:rsidR="00000000" w:rsidRDefault="00D35856">
            <w:pPr>
              <w:keepNext w:val="0"/>
              <w:rPr>
                <w:rFonts w:ascii="Arial" w:hAnsi="Arial" w:cs="Arial"/>
                <w:szCs w:val="19"/>
              </w:rPr>
            </w:pPr>
            <w:r>
              <w:rPr>
                <w:rFonts w:ascii="Arial" w:hAnsi="Arial" w:cs="Arial"/>
                <w:szCs w:val="19"/>
              </w:rPr>
              <w:t>However, to illustrate the sensitivity of fee costs/revenue to the registration fee amount, if the registration fee per original registration was $2500, family additions remain free of charge, and the projected number of registrations remain</w:t>
            </w:r>
            <w:r>
              <w:rPr>
                <w:rFonts w:ascii="Arial" w:hAnsi="Arial" w:cs="Arial"/>
                <w:szCs w:val="19"/>
              </w:rPr>
              <w:t xml:space="preserve"> as above, then the total registration fee costs/revenue (2005—2006 to 2020—2021) would be $7.8m (at 10%) to $11.0m (at 1.6% discount rate).</w:t>
            </w:r>
          </w:p>
        </w:tc>
      </w:tr>
    </w:tbl>
    <w:p w:rsidR="00000000" w:rsidRDefault="00D35856">
      <w:pPr>
        <w:keepNext w:val="0"/>
      </w:pPr>
    </w:p>
    <w:p w:rsidR="00000000" w:rsidRDefault="00D35856">
      <w:pPr>
        <w:pStyle w:val="Heading3"/>
        <w:keepNext w:val="0"/>
        <w:numPr>
          <w:ilvl w:val="2"/>
          <w:numId w:val="3"/>
        </w:numPr>
        <w:tabs>
          <w:tab w:val="clear" w:pos="1440"/>
        </w:tabs>
        <w:ind w:left="851" w:hanging="851"/>
        <w:rPr>
          <w:color w:val="auto"/>
        </w:rPr>
      </w:pPr>
      <w:bookmarkStart w:id="163" w:name="_Toc199933752"/>
      <w:r>
        <w:rPr>
          <w:color w:val="auto"/>
        </w:rPr>
        <w:t>Registration process costs</w:t>
      </w:r>
      <w:bookmarkEnd w:id="163"/>
    </w:p>
    <w:p w:rsidR="00000000" w:rsidRDefault="00D35856">
      <w:pPr>
        <w:keepNext w:val="0"/>
        <w:widowControl w:val="0"/>
      </w:pPr>
      <w:r>
        <w:t>In addition to the registration fee, suppliers also incur costs in terms of the resources required to successfully complete the registration process. The majority (but not all) suppliers interviewed for this study suggested that the online registration pro</w:t>
      </w:r>
      <w:r>
        <w:t xml:space="preserve">cess has been problematic for several reasons, including that registration requirements, including for additional documentation, are not clearly specified. </w:t>
      </w:r>
    </w:p>
    <w:p w:rsidR="00000000" w:rsidRDefault="00D35856">
      <w:pPr>
        <w:keepNext w:val="0"/>
        <w:widowControl w:val="0"/>
      </w:pPr>
      <w:r>
        <w:t xml:space="preserve">The </w:t>
      </w:r>
      <w:smartTag w:uri="urn:schemas-microsoft-com:office:smarttags" w:element="City">
        <w:r>
          <w:t>WELS</w:t>
        </w:r>
      </w:smartTag>
      <w:r>
        <w:t xml:space="preserve"> online database structure was developed and maintained by consultants (EES and Wor</w:t>
      </w:r>
      <w:r>
        <w:t>thIT), who initially adopted the system from energy labelling registrations. DEWHA and industry participants contacted for this study indicated that the initial online registration form was problematic and allowed suppliers to submit non-compliant applicat</w:t>
      </w:r>
      <w:r>
        <w:t>ions. However, data screening has always been a feature of the registration system, and this feature (amongst others) has been continually revised and upgraded over the past three years. Nevertheless, it is not possible to make all online fields verifiable</w:t>
      </w:r>
      <w:r>
        <w:t>.</w:t>
      </w:r>
    </w:p>
    <w:p w:rsidR="00000000" w:rsidRDefault="00D35856">
      <w:pPr>
        <w:keepNext w:val="0"/>
        <w:widowControl w:val="0"/>
      </w:pPr>
      <w:r>
        <w:t>Consequently, not all registration applications successfully meet the registration requirements when first submitted. Registration applications are returned for a number of reasons, including incomplete completion of online fields that cannot be validate</w:t>
      </w:r>
      <w:r>
        <w:t xml:space="preserve">d electronically, incorrect or insufficient documentation (eg. test reports that are incorrect), and non-payment (see section </w:t>
      </w:r>
      <w:fldSimple w:instr=" REF _Ref191471440 \r \h  \* MERGEFORMAT ">
        <w:r>
          <w:t>4.3</w:t>
        </w:r>
      </w:fldSimple>
      <w:r>
        <w:t>). DEWHA’s interna</w:t>
      </w:r>
      <w:r>
        <w:t xml:space="preserve">l registration tracking system indicates that since registrations commenced, approximately 29% of applications required returning at least once. </w:t>
      </w:r>
    </w:p>
    <w:p w:rsidR="00000000" w:rsidRDefault="00D35856">
      <w:pPr>
        <w:keepNext w:val="0"/>
        <w:widowControl w:val="0"/>
      </w:pPr>
      <w:r>
        <w:t>However, the percentage of applications requiring returning does not appear to have decreased since the scheme</w:t>
      </w:r>
      <w:r>
        <w:t xml:space="preserve"> commenced (see </w:t>
      </w:r>
      <w:fldSimple w:instr=" REF _Ref188073667 \h  \* MERGEFORMAT ">
        <w:r>
          <w:t xml:space="preserve">Figure </w:t>
        </w:r>
        <w:r>
          <w:rPr>
            <w:noProof/>
          </w:rPr>
          <w:t>4</w:t>
        </w:r>
        <w:r>
          <w:rPr>
            <w:noProof/>
          </w:rPr>
          <w:noBreakHyphen/>
          <w:t>2</w:t>
        </w:r>
      </w:fldSimple>
      <w:r>
        <w:t>). Although increased familiarity with registration requirements and further improvements in the online system are expected t</w:t>
      </w:r>
      <w:r>
        <w:t>o increase the rate of compliant applications, for the purposes of this study a conservative approach was adopted, to not underestimate costs. In the future,  it is estimated that the percentage of applications requiring returning remains the same as for t</w:t>
      </w:r>
      <w:r>
        <w:t xml:space="preserve">he period of the scheme to November 2007 as shown in </w:t>
      </w:r>
      <w:fldSimple w:instr=" REF _Ref188089448 \h  \* MERGEFORMAT ">
        <w:r>
          <w:t xml:space="preserve">Table </w:t>
        </w:r>
        <w:r>
          <w:rPr>
            <w:noProof/>
          </w:rPr>
          <w:t>4</w:t>
        </w:r>
        <w:r>
          <w:rPr>
            <w:noProof/>
          </w:rPr>
          <w:noBreakHyphen/>
          <w:t>9</w:t>
        </w:r>
      </w:fldSimple>
      <w:r>
        <w:t>.</w:t>
      </w:r>
    </w:p>
    <w:p w:rsidR="00000000" w:rsidRDefault="00D35856">
      <w:pPr>
        <w:pStyle w:val="Caption"/>
        <w:keepNext w:val="0"/>
        <w:pageBreakBefore/>
      </w:pPr>
      <w:bookmarkStart w:id="164" w:name="_Ref188073667"/>
      <w:bookmarkStart w:id="165" w:name="_Toc191475268"/>
      <w:bookmarkStart w:id="166" w:name="_Toc199933831"/>
      <w:r>
        <w:lastRenderedPageBreak/>
        <w:t xml:space="preserve">Figure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Figure \</w:instrText>
      </w:r>
      <w:r>
        <w:instrText xml:space="preserve">* ARABIC \s 1 </w:instrText>
      </w:r>
      <w:r>
        <w:fldChar w:fldCharType="separate"/>
      </w:r>
      <w:r>
        <w:rPr>
          <w:noProof/>
        </w:rPr>
        <w:t>2</w:t>
      </w:r>
      <w:r>
        <w:fldChar w:fldCharType="end"/>
      </w:r>
      <w:bookmarkEnd w:id="164"/>
      <w:r>
        <w:t>: Percentage of application that required returning by type</w:t>
      </w:r>
      <w:bookmarkEnd w:id="165"/>
      <w:bookmarkEnd w:id="166"/>
    </w:p>
    <w:p w:rsidR="00000000" w:rsidRDefault="00D35856">
      <w:pPr>
        <w:keepNext w:val="0"/>
        <w:widowControl w:val="0"/>
        <w:spacing w:after="240"/>
      </w:pPr>
      <w:r>
        <w:rPr>
          <w:noProof/>
          <w:lang w:eastAsia="en-AU"/>
        </w:rPr>
        <w:drawing>
          <wp:inline distT="0" distB="0" distL="0" distR="0">
            <wp:extent cx="5273040" cy="2697480"/>
            <wp:effectExtent l="19050" t="0" r="3810" b="0"/>
            <wp:docPr id="25" name="Picture 25" descr="Fig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gure 4-2"/>
                    <pic:cNvPicPr>
                      <a:picLocks noChangeAspect="1" noChangeArrowheads="1"/>
                    </pic:cNvPicPr>
                  </pic:nvPicPr>
                  <pic:blipFill>
                    <a:blip r:embed="rId38"/>
                    <a:srcRect l="1492" t="15532" r="1492" b="2211"/>
                    <a:stretch>
                      <a:fillRect/>
                    </a:stretch>
                  </pic:blipFill>
                  <pic:spPr bwMode="auto">
                    <a:xfrm>
                      <a:off x="0" y="0"/>
                      <a:ext cx="5273040" cy="2697480"/>
                    </a:xfrm>
                    <a:prstGeom prst="rect">
                      <a:avLst/>
                    </a:prstGeom>
                    <a:noFill/>
                    <a:ln w="9525">
                      <a:noFill/>
                      <a:miter lim="800000"/>
                      <a:headEnd/>
                      <a:tailEnd/>
                    </a:ln>
                  </pic:spPr>
                </pic:pic>
              </a:graphicData>
            </a:graphic>
          </wp:inline>
        </w:drawing>
      </w:r>
    </w:p>
    <w:p w:rsidR="00000000" w:rsidRDefault="00D35856">
      <w:pPr>
        <w:keepNext w:val="0"/>
        <w:widowControl w:val="0"/>
        <w:spacing w:after="240"/>
      </w:pPr>
    </w:p>
    <w:p w:rsidR="00000000" w:rsidRDefault="00D35856">
      <w:pPr>
        <w:pStyle w:val="Caption"/>
        <w:keepNext w:val="0"/>
      </w:pPr>
      <w:bookmarkStart w:id="167" w:name="_Ref188089448"/>
      <w:bookmarkStart w:id="168" w:name="_Toc199933802"/>
      <w:r>
        <w:t xml:space="preserve">Table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Ta</w:instrText>
      </w:r>
      <w:r>
        <w:instrText xml:space="preserve">ble \* ARABIC \s 1 </w:instrText>
      </w:r>
      <w:r>
        <w:fldChar w:fldCharType="separate"/>
      </w:r>
      <w:r>
        <w:rPr>
          <w:noProof/>
        </w:rPr>
        <w:t>9</w:t>
      </w:r>
      <w:r>
        <w:fldChar w:fldCharType="end"/>
      </w:r>
      <w:bookmarkEnd w:id="167"/>
      <w:r>
        <w:t>: Average percentage of applications Jul 2005 to Nov 2007 that required returning</w:t>
      </w:r>
      <w:bookmarkEnd w:id="168"/>
    </w:p>
    <w:tbl>
      <w:tblPr>
        <w:tblStyle w:val="TableGrid"/>
        <w:tblW w:w="0" w:type="auto"/>
        <w:tblLook w:val="01E0"/>
      </w:tblPr>
      <w:tblGrid>
        <w:gridCol w:w="4237"/>
        <w:gridCol w:w="625"/>
        <w:gridCol w:w="625"/>
        <w:gridCol w:w="625"/>
        <w:gridCol w:w="625"/>
        <w:gridCol w:w="625"/>
        <w:gridCol w:w="625"/>
        <w:gridCol w:w="625"/>
      </w:tblGrid>
      <w:tr w:rsidR="00000000">
        <w:tc>
          <w:tcPr>
            <w:tcW w:w="0" w:type="auto"/>
            <w:vMerge w:val="restart"/>
            <w:shd w:val="clear" w:color="auto" w:fill="CCCCCC"/>
            <w:tcMar>
              <w:left w:w="57" w:type="dxa"/>
              <w:right w:w="57" w:type="dxa"/>
            </w:tcMar>
            <w:vAlign w:val="center"/>
          </w:tcPr>
          <w:p w:rsidR="00000000" w:rsidRDefault="00D35856">
            <w:pPr>
              <w:keepNext w:val="0"/>
              <w:widowControl w:val="0"/>
              <w:spacing w:after="0"/>
              <w:rPr>
                <w:rFonts w:ascii="Arial" w:hAnsi="Arial" w:cs="Arial"/>
                <w:b/>
                <w:bCs/>
                <w:sz w:val="20"/>
                <w:szCs w:val="20"/>
              </w:rPr>
            </w:pPr>
            <w:r>
              <w:rPr>
                <w:rFonts w:ascii="Arial" w:hAnsi="Arial" w:cs="Arial"/>
                <w:sz w:val="16"/>
                <w:szCs w:val="18"/>
              </w:rPr>
              <w:t>Percentage of applications requiring returning at least once, July 2005 to Nov 2007 (of approved registrations)</w:t>
            </w:r>
          </w:p>
        </w:tc>
        <w:tc>
          <w:tcPr>
            <w:tcW w:w="0" w:type="auto"/>
            <w:shd w:val="clear" w:color="auto" w:fill="CCCCCC"/>
            <w:tcMar>
              <w:left w:w="57" w:type="dxa"/>
              <w:right w:w="57" w:type="dxa"/>
            </w:tcMar>
          </w:tcPr>
          <w:p w:rsidR="00000000" w:rsidRDefault="00D35856">
            <w:pPr>
              <w:keepNext w:val="0"/>
              <w:widowControl w:val="0"/>
              <w:spacing w:before="20" w:after="20"/>
              <w:jc w:val="center"/>
              <w:rPr>
                <w:rFonts w:ascii="Arial" w:hAnsi="Arial" w:cs="Arial"/>
                <w:b/>
                <w:bCs/>
                <w:sz w:val="18"/>
                <w:szCs w:val="20"/>
              </w:rPr>
            </w:pPr>
            <w:r>
              <w:rPr>
                <w:rFonts w:ascii="Arial" w:hAnsi="Arial" w:cs="Arial"/>
                <w:b/>
                <w:bCs/>
                <w:sz w:val="18"/>
                <w:szCs w:val="20"/>
              </w:rPr>
              <w:t>CWM</w:t>
            </w:r>
          </w:p>
        </w:tc>
        <w:tc>
          <w:tcPr>
            <w:tcW w:w="0" w:type="auto"/>
            <w:shd w:val="clear" w:color="auto" w:fill="CCCCCC"/>
            <w:tcMar>
              <w:left w:w="57" w:type="dxa"/>
              <w:right w:w="57" w:type="dxa"/>
            </w:tcMar>
          </w:tcPr>
          <w:p w:rsidR="00000000" w:rsidRDefault="00D35856">
            <w:pPr>
              <w:keepNext w:val="0"/>
              <w:widowControl w:val="0"/>
              <w:spacing w:before="20" w:after="20"/>
              <w:jc w:val="center"/>
              <w:rPr>
                <w:rFonts w:ascii="Arial" w:hAnsi="Arial" w:cs="Arial"/>
                <w:b/>
                <w:bCs/>
                <w:sz w:val="18"/>
                <w:szCs w:val="20"/>
              </w:rPr>
            </w:pPr>
            <w:r>
              <w:rPr>
                <w:rFonts w:ascii="Arial" w:hAnsi="Arial" w:cs="Arial"/>
                <w:b/>
                <w:bCs/>
                <w:sz w:val="18"/>
                <w:szCs w:val="20"/>
              </w:rPr>
              <w:t>DWM</w:t>
            </w:r>
          </w:p>
        </w:tc>
        <w:tc>
          <w:tcPr>
            <w:tcW w:w="0" w:type="auto"/>
            <w:shd w:val="clear" w:color="auto" w:fill="CCCCCC"/>
            <w:tcMar>
              <w:left w:w="57" w:type="dxa"/>
              <w:right w:w="57" w:type="dxa"/>
            </w:tcMar>
          </w:tcPr>
          <w:p w:rsidR="00000000" w:rsidRDefault="00D35856">
            <w:pPr>
              <w:keepNext w:val="0"/>
              <w:widowControl w:val="0"/>
              <w:spacing w:before="20" w:after="20"/>
              <w:jc w:val="center"/>
              <w:rPr>
                <w:rFonts w:ascii="Arial" w:hAnsi="Arial" w:cs="Arial"/>
                <w:b/>
                <w:bCs/>
                <w:sz w:val="18"/>
                <w:szCs w:val="20"/>
              </w:rPr>
            </w:pPr>
            <w:r>
              <w:rPr>
                <w:rFonts w:ascii="Arial" w:hAnsi="Arial" w:cs="Arial"/>
                <w:b/>
                <w:bCs/>
                <w:sz w:val="18"/>
                <w:szCs w:val="20"/>
              </w:rPr>
              <w:t>LE</w:t>
            </w:r>
          </w:p>
        </w:tc>
        <w:tc>
          <w:tcPr>
            <w:tcW w:w="0" w:type="auto"/>
            <w:shd w:val="clear" w:color="auto" w:fill="CCCCCC"/>
            <w:tcMar>
              <w:left w:w="57" w:type="dxa"/>
              <w:right w:w="57" w:type="dxa"/>
            </w:tcMar>
          </w:tcPr>
          <w:p w:rsidR="00000000" w:rsidRDefault="00D35856">
            <w:pPr>
              <w:keepNext w:val="0"/>
              <w:widowControl w:val="0"/>
              <w:spacing w:before="20" w:after="20"/>
              <w:jc w:val="center"/>
              <w:rPr>
                <w:rFonts w:ascii="Arial" w:hAnsi="Arial" w:cs="Arial"/>
                <w:b/>
                <w:bCs/>
                <w:sz w:val="18"/>
                <w:szCs w:val="20"/>
              </w:rPr>
            </w:pPr>
            <w:r>
              <w:rPr>
                <w:rFonts w:ascii="Arial" w:hAnsi="Arial" w:cs="Arial"/>
                <w:b/>
                <w:bCs/>
                <w:sz w:val="18"/>
                <w:szCs w:val="20"/>
              </w:rPr>
              <w:t>S</w:t>
            </w:r>
          </w:p>
        </w:tc>
        <w:tc>
          <w:tcPr>
            <w:tcW w:w="0" w:type="auto"/>
            <w:shd w:val="clear" w:color="auto" w:fill="CCCCCC"/>
            <w:tcMar>
              <w:left w:w="57" w:type="dxa"/>
              <w:right w:w="57" w:type="dxa"/>
            </w:tcMar>
          </w:tcPr>
          <w:p w:rsidR="00000000" w:rsidRDefault="00D35856">
            <w:pPr>
              <w:keepNext w:val="0"/>
              <w:widowControl w:val="0"/>
              <w:spacing w:before="20" w:after="20"/>
              <w:jc w:val="center"/>
              <w:rPr>
                <w:rFonts w:ascii="Arial" w:hAnsi="Arial" w:cs="Arial"/>
                <w:b/>
                <w:bCs/>
                <w:sz w:val="18"/>
                <w:szCs w:val="20"/>
              </w:rPr>
            </w:pPr>
            <w:r>
              <w:rPr>
                <w:rFonts w:ascii="Arial" w:hAnsi="Arial" w:cs="Arial"/>
                <w:b/>
                <w:bCs/>
                <w:sz w:val="18"/>
                <w:szCs w:val="20"/>
              </w:rPr>
              <w:t>TE</w:t>
            </w:r>
          </w:p>
        </w:tc>
        <w:tc>
          <w:tcPr>
            <w:tcW w:w="0" w:type="auto"/>
            <w:shd w:val="clear" w:color="auto" w:fill="CCCCCC"/>
            <w:tcMar>
              <w:left w:w="57" w:type="dxa"/>
              <w:right w:w="57" w:type="dxa"/>
            </w:tcMar>
          </w:tcPr>
          <w:p w:rsidR="00000000" w:rsidRDefault="00D35856">
            <w:pPr>
              <w:keepNext w:val="0"/>
              <w:widowControl w:val="0"/>
              <w:spacing w:before="20" w:after="20"/>
              <w:jc w:val="center"/>
              <w:rPr>
                <w:rFonts w:ascii="Arial" w:hAnsi="Arial" w:cs="Arial"/>
                <w:b/>
                <w:bCs/>
                <w:sz w:val="18"/>
                <w:szCs w:val="20"/>
              </w:rPr>
            </w:pPr>
            <w:r>
              <w:rPr>
                <w:rFonts w:ascii="Arial" w:hAnsi="Arial" w:cs="Arial"/>
                <w:b/>
                <w:bCs/>
                <w:sz w:val="18"/>
                <w:szCs w:val="20"/>
              </w:rPr>
              <w:t>UE</w:t>
            </w:r>
          </w:p>
        </w:tc>
        <w:tc>
          <w:tcPr>
            <w:tcW w:w="0" w:type="auto"/>
            <w:shd w:val="clear" w:color="auto" w:fill="CCCCCC"/>
            <w:tcMar>
              <w:left w:w="57" w:type="dxa"/>
              <w:right w:w="57" w:type="dxa"/>
            </w:tcMar>
          </w:tcPr>
          <w:p w:rsidR="00000000" w:rsidRDefault="00D35856">
            <w:pPr>
              <w:keepNext w:val="0"/>
              <w:widowControl w:val="0"/>
              <w:spacing w:before="20" w:after="20"/>
              <w:jc w:val="center"/>
              <w:rPr>
                <w:rFonts w:ascii="Arial" w:hAnsi="Arial" w:cs="Arial"/>
                <w:b/>
                <w:bCs/>
                <w:sz w:val="18"/>
                <w:szCs w:val="20"/>
              </w:rPr>
            </w:pPr>
            <w:r>
              <w:rPr>
                <w:rFonts w:ascii="Arial" w:hAnsi="Arial" w:cs="Arial"/>
                <w:b/>
                <w:bCs/>
                <w:sz w:val="18"/>
                <w:szCs w:val="20"/>
              </w:rPr>
              <w:t>Total</w:t>
            </w:r>
          </w:p>
        </w:tc>
      </w:tr>
      <w:tr w:rsidR="00000000">
        <w:tc>
          <w:tcPr>
            <w:tcW w:w="0" w:type="auto"/>
            <w:vMerge/>
            <w:tcMar>
              <w:left w:w="57" w:type="dxa"/>
              <w:right w:w="57" w:type="dxa"/>
            </w:tcMar>
            <w:vAlign w:val="center"/>
          </w:tcPr>
          <w:p w:rsidR="00000000" w:rsidRDefault="00D35856">
            <w:pPr>
              <w:keepNext w:val="0"/>
              <w:widowControl w:val="0"/>
              <w:spacing w:after="0"/>
              <w:rPr>
                <w:rFonts w:ascii="Arial" w:hAnsi="Arial" w:cs="Arial"/>
                <w:sz w:val="16"/>
                <w:szCs w:val="18"/>
              </w:rPr>
            </w:pPr>
          </w:p>
        </w:tc>
        <w:tc>
          <w:tcPr>
            <w:tcW w:w="0" w:type="auto"/>
            <w:tcMar>
              <w:left w:w="57" w:type="dxa"/>
              <w:right w:w="57" w:type="dxa"/>
            </w:tcMar>
          </w:tcPr>
          <w:p w:rsidR="00000000" w:rsidRDefault="00D35856">
            <w:pPr>
              <w:keepNext w:val="0"/>
              <w:widowControl w:val="0"/>
              <w:spacing w:before="20" w:after="20"/>
              <w:jc w:val="right"/>
              <w:rPr>
                <w:rFonts w:ascii="Arial" w:hAnsi="Arial" w:cs="Arial"/>
                <w:sz w:val="18"/>
              </w:rPr>
            </w:pPr>
            <w:r>
              <w:rPr>
                <w:rFonts w:ascii="Arial" w:hAnsi="Arial" w:cs="Arial"/>
                <w:sz w:val="18"/>
              </w:rPr>
              <w:t>13.4%</w:t>
            </w:r>
          </w:p>
        </w:tc>
        <w:tc>
          <w:tcPr>
            <w:tcW w:w="0" w:type="auto"/>
            <w:tcMar>
              <w:left w:w="57" w:type="dxa"/>
              <w:right w:w="57" w:type="dxa"/>
            </w:tcMar>
          </w:tcPr>
          <w:p w:rsidR="00000000" w:rsidRDefault="00D35856">
            <w:pPr>
              <w:keepNext w:val="0"/>
              <w:widowControl w:val="0"/>
              <w:spacing w:before="20" w:after="20"/>
              <w:jc w:val="right"/>
              <w:rPr>
                <w:rFonts w:ascii="Arial" w:hAnsi="Arial" w:cs="Arial"/>
                <w:sz w:val="18"/>
              </w:rPr>
            </w:pPr>
            <w:r>
              <w:rPr>
                <w:rFonts w:ascii="Arial" w:hAnsi="Arial" w:cs="Arial"/>
                <w:sz w:val="18"/>
              </w:rPr>
              <w:t>17.3%</w:t>
            </w:r>
          </w:p>
        </w:tc>
        <w:tc>
          <w:tcPr>
            <w:tcW w:w="0" w:type="auto"/>
            <w:tcMar>
              <w:left w:w="57" w:type="dxa"/>
              <w:right w:w="57" w:type="dxa"/>
            </w:tcMar>
          </w:tcPr>
          <w:p w:rsidR="00000000" w:rsidRDefault="00D35856">
            <w:pPr>
              <w:keepNext w:val="0"/>
              <w:widowControl w:val="0"/>
              <w:spacing w:before="20" w:after="20"/>
              <w:jc w:val="right"/>
              <w:rPr>
                <w:rFonts w:ascii="Arial" w:hAnsi="Arial" w:cs="Arial"/>
                <w:sz w:val="18"/>
              </w:rPr>
            </w:pPr>
            <w:r>
              <w:rPr>
                <w:rFonts w:ascii="Arial" w:hAnsi="Arial" w:cs="Arial"/>
                <w:sz w:val="18"/>
              </w:rPr>
              <w:t>35.9%</w:t>
            </w:r>
          </w:p>
        </w:tc>
        <w:tc>
          <w:tcPr>
            <w:tcW w:w="0" w:type="auto"/>
            <w:tcMar>
              <w:left w:w="57" w:type="dxa"/>
              <w:right w:w="57" w:type="dxa"/>
            </w:tcMar>
          </w:tcPr>
          <w:p w:rsidR="00000000" w:rsidRDefault="00D35856">
            <w:pPr>
              <w:keepNext w:val="0"/>
              <w:widowControl w:val="0"/>
              <w:spacing w:before="20" w:after="20"/>
              <w:jc w:val="right"/>
              <w:rPr>
                <w:rFonts w:ascii="Arial" w:hAnsi="Arial" w:cs="Arial"/>
                <w:sz w:val="18"/>
              </w:rPr>
            </w:pPr>
            <w:r>
              <w:rPr>
                <w:rFonts w:ascii="Arial" w:hAnsi="Arial" w:cs="Arial"/>
                <w:sz w:val="18"/>
              </w:rPr>
              <w:t>32.9%</w:t>
            </w:r>
          </w:p>
        </w:tc>
        <w:tc>
          <w:tcPr>
            <w:tcW w:w="0" w:type="auto"/>
            <w:tcMar>
              <w:left w:w="57" w:type="dxa"/>
              <w:right w:w="57" w:type="dxa"/>
            </w:tcMar>
          </w:tcPr>
          <w:p w:rsidR="00000000" w:rsidRDefault="00D35856">
            <w:pPr>
              <w:keepNext w:val="0"/>
              <w:widowControl w:val="0"/>
              <w:spacing w:before="20" w:after="20"/>
              <w:jc w:val="right"/>
              <w:rPr>
                <w:rFonts w:ascii="Arial" w:hAnsi="Arial" w:cs="Arial"/>
                <w:sz w:val="18"/>
              </w:rPr>
            </w:pPr>
            <w:r>
              <w:rPr>
                <w:rFonts w:ascii="Arial" w:hAnsi="Arial" w:cs="Arial"/>
                <w:sz w:val="18"/>
              </w:rPr>
              <w:t>31.4%</w:t>
            </w:r>
          </w:p>
        </w:tc>
        <w:tc>
          <w:tcPr>
            <w:tcW w:w="0" w:type="auto"/>
            <w:tcMar>
              <w:left w:w="57" w:type="dxa"/>
              <w:right w:w="57" w:type="dxa"/>
            </w:tcMar>
          </w:tcPr>
          <w:p w:rsidR="00000000" w:rsidRDefault="00D35856">
            <w:pPr>
              <w:keepNext w:val="0"/>
              <w:widowControl w:val="0"/>
              <w:spacing w:before="20" w:after="20"/>
              <w:jc w:val="right"/>
              <w:rPr>
                <w:rFonts w:ascii="Arial" w:hAnsi="Arial" w:cs="Arial"/>
                <w:sz w:val="18"/>
              </w:rPr>
            </w:pPr>
            <w:r>
              <w:rPr>
                <w:rFonts w:ascii="Arial" w:hAnsi="Arial" w:cs="Arial"/>
                <w:sz w:val="18"/>
              </w:rPr>
              <w:t>35.1%</w:t>
            </w:r>
          </w:p>
        </w:tc>
        <w:tc>
          <w:tcPr>
            <w:tcW w:w="0" w:type="auto"/>
            <w:tcMar>
              <w:left w:w="57" w:type="dxa"/>
              <w:right w:w="57" w:type="dxa"/>
            </w:tcMar>
          </w:tcPr>
          <w:p w:rsidR="00000000" w:rsidRDefault="00D35856">
            <w:pPr>
              <w:keepNext w:val="0"/>
              <w:widowControl w:val="0"/>
              <w:spacing w:before="20" w:after="20"/>
              <w:jc w:val="right"/>
              <w:rPr>
                <w:rFonts w:ascii="Arial" w:hAnsi="Arial" w:cs="Arial"/>
                <w:sz w:val="18"/>
              </w:rPr>
            </w:pPr>
            <w:r>
              <w:rPr>
                <w:rFonts w:ascii="Arial" w:hAnsi="Arial" w:cs="Arial"/>
                <w:sz w:val="18"/>
              </w:rPr>
              <w:t>29.1%</w:t>
            </w:r>
          </w:p>
        </w:tc>
      </w:tr>
    </w:tbl>
    <w:p w:rsidR="00000000" w:rsidRDefault="00D35856">
      <w:pPr>
        <w:keepNext w:val="0"/>
        <w:widowControl w:val="0"/>
        <w:spacing w:after="0"/>
        <w:rPr>
          <w:sz w:val="18"/>
          <w:szCs w:val="18"/>
        </w:rPr>
      </w:pPr>
      <w:r>
        <w:rPr>
          <w:sz w:val="18"/>
          <w:szCs w:val="18"/>
        </w:rPr>
        <w:t>See list of Abbreviations on page ix for acronyms.</w:t>
      </w:r>
    </w:p>
    <w:p w:rsidR="00000000" w:rsidRDefault="00D35856">
      <w:pPr>
        <w:keepNext w:val="0"/>
        <w:widowControl w:val="0"/>
      </w:pPr>
    </w:p>
    <w:p w:rsidR="00000000" w:rsidRDefault="00D35856">
      <w:pPr>
        <w:keepNext w:val="0"/>
        <w:widowControl w:val="0"/>
      </w:pPr>
      <w:r>
        <w:t xml:space="preserve">It is difficult to conclusively estimate the supplier staff time attributable to </w:t>
      </w:r>
      <w:smartTag w:uri="urn:schemas-microsoft-com:office:smarttags" w:element="City">
        <w:r>
          <w:t>WELS</w:t>
        </w:r>
      </w:smartTag>
      <w:r>
        <w:t xml:space="preserve"> registration tasks. A representative survey was not conducted for this study, and the stakeholders contacted reported a range of time requirements. For the first registration application of singles, families or sets or minor products, conservative (low) e</w:t>
      </w:r>
      <w:r>
        <w:t>stimates of 7 hours for washing machines and dishwashers and 14 hours for toilets, taps and showerheads have been adopted (the lower hours for washing machines and dishwashers reflecting possible overlaps with energy labelling requirements for whitegoods).</w:t>
      </w:r>
      <w:r>
        <w:t xml:space="preserve"> Each application for registration of additions is estimated to take a further 3 hours. Applications which are not successful the first time are estimated to take a further 4 hours each to resubmit. The time costs of registration are summarised in </w:t>
      </w:r>
      <w:fldSimple w:instr=" REF _Ref188074145 \h  \* MERGEFORMAT ">
        <w:r>
          <w:t xml:space="preserve">Table </w:t>
        </w:r>
        <w:r>
          <w:rPr>
            <w:noProof/>
          </w:rPr>
          <w:t>4</w:t>
        </w:r>
        <w:r>
          <w:rPr>
            <w:noProof/>
          </w:rPr>
          <w:noBreakHyphen/>
          <w:t>10</w:t>
        </w:r>
      </w:fldSimple>
      <w:r>
        <w:t>.</w:t>
      </w:r>
    </w:p>
    <w:p w:rsidR="00000000" w:rsidRDefault="00D35856">
      <w:pPr>
        <w:pStyle w:val="Caption"/>
        <w:keepNext w:val="0"/>
        <w:pageBreakBefore/>
      </w:pPr>
      <w:bookmarkStart w:id="169" w:name="_Ref188074145"/>
      <w:bookmarkStart w:id="170" w:name="_Toc199933803"/>
      <w:r>
        <w:lastRenderedPageBreak/>
        <w:t xml:space="preserve">Table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Table \* ARABIC \s 1 </w:instrText>
      </w:r>
      <w:r>
        <w:fldChar w:fldCharType="separate"/>
      </w:r>
      <w:r>
        <w:rPr>
          <w:noProof/>
        </w:rPr>
        <w:t>10</w:t>
      </w:r>
      <w:r>
        <w:fldChar w:fldCharType="end"/>
      </w:r>
      <w:bookmarkEnd w:id="169"/>
      <w:r>
        <w:t xml:space="preserve">: Time cost of registration process to suppliers - </w:t>
      </w:r>
      <w:r>
        <w:t>actual to November 2007, and projected to 2020—2021</w:t>
      </w:r>
      <w:bookmarkEnd w:id="170"/>
    </w:p>
    <w:tbl>
      <w:tblPr>
        <w:tblStyle w:val="TableGrid"/>
        <w:tblW w:w="4965" w:type="pct"/>
        <w:tblLayout w:type="fixed"/>
        <w:tblLook w:val="01E0"/>
      </w:tblPr>
      <w:tblGrid>
        <w:gridCol w:w="2562"/>
        <w:gridCol w:w="701"/>
        <w:gridCol w:w="756"/>
        <w:gridCol w:w="756"/>
        <w:gridCol w:w="756"/>
        <w:gridCol w:w="756"/>
        <w:gridCol w:w="756"/>
        <w:gridCol w:w="756"/>
        <w:gridCol w:w="753"/>
      </w:tblGrid>
      <w:tr w:rsidR="00000000">
        <w:trPr>
          <w:trHeight w:val="407"/>
        </w:trPr>
        <w:tc>
          <w:tcPr>
            <w:tcW w:w="1498" w:type="pct"/>
            <w:tcBorders>
              <w:right w:val="nil"/>
            </w:tcBorders>
            <w:shd w:val="clear" w:color="auto" w:fill="CCCCCC"/>
            <w:tcMar>
              <w:left w:w="57" w:type="dxa"/>
              <w:right w:w="57" w:type="dxa"/>
            </w:tcMar>
          </w:tcPr>
          <w:p w:rsidR="00000000" w:rsidRDefault="00D35856">
            <w:pPr>
              <w:keepNext w:val="0"/>
              <w:widowControl w:val="0"/>
              <w:spacing w:after="40"/>
              <w:rPr>
                <w:rFonts w:ascii="Arial" w:hAnsi="Arial" w:cs="Arial"/>
                <w:b/>
                <w:bCs/>
                <w:sz w:val="20"/>
                <w:szCs w:val="20"/>
              </w:rPr>
            </w:pPr>
            <w:r>
              <w:rPr>
                <w:rFonts w:ascii="Arial" w:hAnsi="Arial" w:cs="Arial"/>
                <w:b/>
                <w:bCs/>
                <w:sz w:val="20"/>
                <w:szCs w:val="20"/>
              </w:rPr>
              <w:t>NPV ($000) total</w:t>
            </w:r>
          </w:p>
        </w:tc>
        <w:tc>
          <w:tcPr>
            <w:tcW w:w="410" w:type="pct"/>
            <w:tcBorders>
              <w:left w:val="nil"/>
            </w:tcBorders>
            <w:shd w:val="clear" w:color="auto" w:fill="CCCCCC"/>
            <w:tcMar>
              <w:left w:w="57" w:type="dxa"/>
              <w:right w:w="57" w:type="dxa"/>
            </w:tcMar>
          </w:tcPr>
          <w:p w:rsidR="00000000" w:rsidRDefault="00D35856">
            <w:pPr>
              <w:keepNext w:val="0"/>
              <w:widowControl w:val="0"/>
              <w:spacing w:after="40"/>
              <w:rPr>
                <w:rFonts w:ascii="Arial" w:hAnsi="Arial" w:cs="Arial"/>
                <w:b/>
                <w:bCs/>
                <w:sz w:val="18"/>
                <w:szCs w:val="18"/>
              </w:rPr>
            </w:pPr>
          </w:p>
        </w:tc>
        <w:tc>
          <w:tcPr>
            <w:tcW w:w="442" w:type="pct"/>
            <w:shd w:val="clear" w:color="auto" w:fill="CCCCCC"/>
            <w:tcMar>
              <w:left w:w="57" w:type="dxa"/>
              <w:right w:w="57" w:type="dxa"/>
            </w:tcMar>
          </w:tcPr>
          <w:p w:rsidR="00000000" w:rsidRDefault="00D35856">
            <w:pPr>
              <w:keepNext w:val="0"/>
              <w:widowControl w:val="0"/>
              <w:spacing w:after="40"/>
              <w:jc w:val="center"/>
              <w:rPr>
                <w:rFonts w:ascii="Arial" w:hAnsi="Arial" w:cs="Arial"/>
                <w:b/>
                <w:bCs/>
                <w:sz w:val="18"/>
                <w:szCs w:val="20"/>
              </w:rPr>
            </w:pPr>
            <w:r>
              <w:rPr>
                <w:rFonts w:ascii="Arial" w:hAnsi="Arial" w:cs="Arial"/>
                <w:b/>
                <w:bCs/>
                <w:sz w:val="18"/>
                <w:szCs w:val="20"/>
              </w:rPr>
              <w:t>CWM</w:t>
            </w:r>
          </w:p>
        </w:tc>
        <w:tc>
          <w:tcPr>
            <w:tcW w:w="442" w:type="pct"/>
            <w:shd w:val="clear" w:color="auto" w:fill="CCCCCC"/>
            <w:tcMar>
              <w:left w:w="57" w:type="dxa"/>
              <w:right w:w="57" w:type="dxa"/>
            </w:tcMar>
          </w:tcPr>
          <w:p w:rsidR="00000000" w:rsidRDefault="00D35856">
            <w:pPr>
              <w:keepNext w:val="0"/>
              <w:widowControl w:val="0"/>
              <w:spacing w:after="40"/>
              <w:jc w:val="center"/>
              <w:rPr>
                <w:rFonts w:ascii="Arial" w:hAnsi="Arial" w:cs="Arial"/>
                <w:b/>
                <w:bCs/>
                <w:sz w:val="18"/>
                <w:szCs w:val="20"/>
              </w:rPr>
            </w:pPr>
            <w:r>
              <w:rPr>
                <w:rFonts w:ascii="Arial" w:hAnsi="Arial" w:cs="Arial"/>
                <w:b/>
                <w:bCs/>
                <w:sz w:val="18"/>
                <w:szCs w:val="20"/>
              </w:rPr>
              <w:t>DWM</w:t>
            </w:r>
          </w:p>
        </w:tc>
        <w:tc>
          <w:tcPr>
            <w:tcW w:w="442" w:type="pct"/>
            <w:shd w:val="clear" w:color="auto" w:fill="CCCCCC"/>
            <w:tcMar>
              <w:left w:w="57" w:type="dxa"/>
              <w:right w:w="57" w:type="dxa"/>
            </w:tcMar>
          </w:tcPr>
          <w:p w:rsidR="00000000" w:rsidRDefault="00D35856">
            <w:pPr>
              <w:keepNext w:val="0"/>
              <w:widowControl w:val="0"/>
              <w:spacing w:after="40"/>
              <w:jc w:val="center"/>
              <w:rPr>
                <w:rFonts w:ascii="Arial" w:hAnsi="Arial" w:cs="Arial"/>
                <w:b/>
                <w:bCs/>
                <w:sz w:val="18"/>
                <w:szCs w:val="20"/>
              </w:rPr>
            </w:pPr>
            <w:r>
              <w:rPr>
                <w:rFonts w:ascii="Arial" w:hAnsi="Arial" w:cs="Arial"/>
                <w:b/>
                <w:bCs/>
                <w:sz w:val="18"/>
                <w:szCs w:val="20"/>
              </w:rPr>
              <w:t>LE</w:t>
            </w:r>
          </w:p>
        </w:tc>
        <w:tc>
          <w:tcPr>
            <w:tcW w:w="442" w:type="pct"/>
            <w:shd w:val="clear" w:color="auto" w:fill="CCCCCC"/>
            <w:tcMar>
              <w:left w:w="57" w:type="dxa"/>
              <w:right w:w="57" w:type="dxa"/>
            </w:tcMar>
          </w:tcPr>
          <w:p w:rsidR="00000000" w:rsidRDefault="00D35856">
            <w:pPr>
              <w:keepNext w:val="0"/>
              <w:widowControl w:val="0"/>
              <w:spacing w:after="40"/>
              <w:jc w:val="center"/>
              <w:rPr>
                <w:rFonts w:ascii="Arial" w:hAnsi="Arial" w:cs="Arial"/>
                <w:b/>
                <w:bCs/>
                <w:sz w:val="18"/>
                <w:szCs w:val="20"/>
              </w:rPr>
            </w:pPr>
            <w:r>
              <w:rPr>
                <w:rFonts w:ascii="Arial" w:hAnsi="Arial" w:cs="Arial"/>
                <w:b/>
                <w:bCs/>
                <w:sz w:val="18"/>
                <w:szCs w:val="20"/>
              </w:rPr>
              <w:t>S</w:t>
            </w:r>
          </w:p>
        </w:tc>
        <w:tc>
          <w:tcPr>
            <w:tcW w:w="442" w:type="pct"/>
            <w:shd w:val="clear" w:color="auto" w:fill="CCCCCC"/>
            <w:tcMar>
              <w:left w:w="57" w:type="dxa"/>
              <w:right w:w="57" w:type="dxa"/>
            </w:tcMar>
          </w:tcPr>
          <w:p w:rsidR="00000000" w:rsidRDefault="00D35856">
            <w:pPr>
              <w:keepNext w:val="0"/>
              <w:widowControl w:val="0"/>
              <w:spacing w:after="40"/>
              <w:jc w:val="center"/>
              <w:rPr>
                <w:rFonts w:ascii="Arial" w:hAnsi="Arial" w:cs="Arial"/>
                <w:b/>
                <w:bCs/>
                <w:sz w:val="18"/>
                <w:szCs w:val="20"/>
              </w:rPr>
            </w:pPr>
            <w:r>
              <w:rPr>
                <w:rFonts w:ascii="Arial" w:hAnsi="Arial" w:cs="Arial"/>
                <w:b/>
                <w:bCs/>
                <w:sz w:val="18"/>
                <w:szCs w:val="20"/>
              </w:rPr>
              <w:t>TE</w:t>
            </w:r>
          </w:p>
        </w:tc>
        <w:tc>
          <w:tcPr>
            <w:tcW w:w="442" w:type="pct"/>
            <w:shd w:val="clear" w:color="auto" w:fill="CCCCCC"/>
            <w:tcMar>
              <w:left w:w="57" w:type="dxa"/>
              <w:right w:w="57" w:type="dxa"/>
            </w:tcMar>
          </w:tcPr>
          <w:p w:rsidR="00000000" w:rsidRDefault="00D35856">
            <w:pPr>
              <w:keepNext w:val="0"/>
              <w:widowControl w:val="0"/>
              <w:spacing w:after="40"/>
              <w:jc w:val="center"/>
              <w:rPr>
                <w:rFonts w:ascii="Arial" w:hAnsi="Arial" w:cs="Arial"/>
                <w:b/>
                <w:bCs/>
                <w:sz w:val="18"/>
                <w:szCs w:val="20"/>
              </w:rPr>
            </w:pPr>
            <w:r>
              <w:rPr>
                <w:rFonts w:ascii="Arial" w:hAnsi="Arial" w:cs="Arial"/>
                <w:b/>
                <w:bCs/>
                <w:sz w:val="18"/>
                <w:szCs w:val="20"/>
              </w:rPr>
              <w:t>UE</w:t>
            </w:r>
          </w:p>
        </w:tc>
        <w:tc>
          <w:tcPr>
            <w:tcW w:w="440" w:type="pct"/>
            <w:shd w:val="clear" w:color="auto" w:fill="CCCCCC"/>
            <w:tcMar>
              <w:left w:w="57" w:type="dxa"/>
              <w:right w:w="57" w:type="dxa"/>
            </w:tcMar>
          </w:tcPr>
          <w:p w:rsidR="00000000" w:rsidRDefault="00D35856">
            <w:pPr>
              <w:keepNext w:val="0"/>
              <w:widowControl w:val="0"/>
              <w:spacing w:after="40"/>
              <w:jc w:val="center"/>
              <w:rPr>
                <w:rFonts w:ascii="Arial" w:hAnsi="Arial" w:cs="Arial"/>
                <w:b/>
                <w:bCs/>
                <w:sz w:val="18"/>
                <w:szCs w:val="20"/>
              </w:rPr>
            </w:pPr>
            <w:r>
              <w:rPr>
                <w:rFonts w:ascii="Arial" w:hAnsi="Arial" w:cs="Arial"/>
                <w:b/>
                <w:bCs/>
                <w:sz w:val="18"/>
                <w:szCs w:val="20"/>
              </w:rPr>
              <w:t>Total</w:t>
            </w:r>
          </w:p>
        </w:tc>
      </w:tr>
      <w:tr w:rsidR="00000000">
        <w:tc>
          <w:tcPr>
            <w:tcW w:w="1498" w:type="pct"/>
            <w:tcBorders>
              <w:right w:val="nil"/>
            </w:tcBorders>
            <w:tcMar>
              <w:left w:w="57" w:type="dxa"/>
              <w:right w:w="57" w:type="dxa"/>
            </w:tcMar>
            <w:vAlign w:val="center"/>
          </w:tcPr>
          <w:p w:rsidR="00000000" w:rsidRDefault="00D35856">
            <w:pPr>
              <w:keepNext w:val="0"/>
              <w:widowControl w:val="0"/>
              <w:spacing w:before="20" w:after="20"/>
              <w:rPr>
                <w:rFonts w:ascii="Arial" w:hAnsi="Arial" w:cs="Arial"/>
                <w:sz w:val="18"/>
                <w:szCs w:val="18"/>
              </w:rPr>
            </w:pPr>
            <w:r>
              <w:rPr>
                <w:rFonts w:ascii="Arial" w:hAnsi="Arial" w:cs="Arial"/>
                <w:sz w:val="18"/>
                <w:szCs w:val="18"/>
              </w:rPr>
              <w:t>Costs to 2005 to Nov 2007 based on actual registration numbers</w:t>
            </w:r>
          </w:p>
        </w:tc>
        <w:tc>
          <w:tcPr>
            <w:tcW w:w="410" w:type="pct"/>
            <w:tcBorders>
              <w:left w:val="nil"/>
            </w:tcBorders>
            <w:tcMar>
              <w:left w:w="57" w:type="dxa"/>
              <w:right w:w="57" w:type="dxa"/>
            </w:tcMar>
            <w:vAlign w:val="center"/>
          </w:tcPr>
          <w:p w:rsidR="00000000" w:rsidRDefault="00D35856">
            <w:pPr>
              <w:keepNext w:val="0"/>
              <w:widowControl w:val="0"/>
              <w:spacing w:before="20" w:after="20"/>
              <w:rPr>
                <w:rFonts w:ascii="Arial" w:hAnsi="Arial" w:cs="Arial"/>
                <w:sz w:val="18"/>
                <w:szCs w:val="18"/>
              </w:rPr>
            </w:pP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$67</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$58</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$107</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$194</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$335</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$23</w:t>
            </w:r>
          </w:p>
        </w:tc>
        <w:tc>
          <w:tcPr>
            <w:tcW w:w="440"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$785</w:t>
            </w:r>
          </w:p>
        </w:tc>
      </w:tr>
      <w:tr w:rsidR="00000000">
        <w:tc>
          <w:tcPr>
            <w:tcW w:w="1498" w:type="pct"/>
            <w:tcBorders>
              <w:right w:val="nil"/>
            </w:tcBorders>
            <w:tcMar>
              <w:left w:w="57" w:type="dxa"/>
              <w:right w:w="57" w:type="dxa"/>
            </w:tcMar>
            <w:vAlign w:val="center"/>
          </w:tcPr>
          <w:p w:rsidR="00000000" w:rsidRDefault="00D35856">
            <w:pPr>
              <w:keepNext w:val="0"/>
              <w:widowControl w:val="0"/>
              <w:spacing w:before="20" w:after="20"/>
              <w:rPr>
                <w:rFonts w:ascii="Arial" w:hAnsi="Arial" w:cs="Arial"/>
                <w:sz w:val="6"/>
                <w:szCs w:val="6"/>
              </w:rPr>
            </w:pPr>
          </w:p>
        </w:tc>
        <w:tc>
          <w:tcPr>
            <w:tcW w:w="410" w:type="pct"/>
            <w:tcBorders>
              <w:left w:val="nil"/>
              <w:right w:val="nil"/>
            </w:tcBorders>
            <w:tcMar>
              <w:left w:w="57" w:type="dxa"/>
              <w:right w:w="57" w:type="dxa"/>
            </w:tcMar>
            <w:vAlign w:val="center"/>
          </w:tcPr>
          <w:p w:rsidR="00000000" w:rsidRDefault="00D35856">
            <w:pPr>
              <w:keepNext w:val="0"/>
              <w:widowControl w:val="0"/>
              <w:spacing w:before="20" w:after="20"/>
              <w:jc w:val="right"/>
              <w:rPr>
                <w:rFonts w:ascii="Arial" w:hAnsi="Arial" w:cs="Arial"/>
                <w:sz w:val="6"/>
                <w:szCs w:val="6"/>
              </w:rPr>
            </w:pPr>
          </w:p>
        </w:tc>
        <w:tc>
          <w:tcPr>
            <w:tcW w:w="442" w:type="pct"/>
            <w:tcBorders>
              <w:left w:val="nil"/>
              <w:right w:val="nil"/>
            </w:tcBorders>
            <w:tcMar>
              <w:left w:w="57" w:type="dxa"/>
              <w:right w:w="57" w:type="dxa"/>
            </w:tcMar>
          </w:tcPr>
          <w:p w:rsidR="00000000" w:rsidRDefault="00D35856">
            <w:pPr>
              <w:keepNext w:val="0"/>
              <w:widowControl w:val="0"/>
              <w:spacing w:before="20" w:after="20"/>
              <w:jc w:val="right"/>
              <w:rPr>
                <w:rFonts w:ascii="Arial" w:hAnsi="Arial" w:cs="Arial"/>
                <w:sz w:val="6"/>
                <w:szCs w:val="6"/>
              </w:rPr>
            </w:pPr>
          </w:p>
        </w:tc>
        <w:tc>
          <w:tcPr>
            <w:tcW w:w="442" w:type="pct"/>
            <w:tcBorders>
              <w:left w:val="nil"/>
              <w:right w:val="nil"/>
            </w:tcBorders>
            <w:tcMar>
              <w:left w:w="57" w:type="dxa"/>
              <w:right w:w="57" w:type="dxa"/>
            </w:tcMar>
          </w:tcPr>
          <w:p w:rsidR="00000000" w:rsidRDefault="00D35856">
            <w:pPr>
              <w:keepNext w:val="0"/>
              <w:widowControl w:val="0"/>
              <w:spacing w:before="20" w:after="20"/>
              <w:jc w:val="right"/>
              <w:rPr>
                <w:rFonts w:ascii="Arial" w:hAnsi="Arial" w:cs="Arial"/>
                <w:sz w:val="6"/>
                <w:szCs w:val="6"/>
              </w:rPr>
            </w:pPr>
          </w:p>
        </w:tc>
        <w:tc>
          <w:tcPr>
            <w:tcW w:w="442" w:type="pct"/>
            <w:tcBorders>
              <w:left w:val="nil"/>
              <w:right w:val="nil"/>
            </w:tcBorders>
            <w:tcMar>
              <w:left w:w="57" w:type="dxa"/>
              <w:right w:w="57" w:type="dxa"/>
            </w:tcMar>
          </w:tcPr>
          <w:p w:rsidR="00000000" w:rsidRDefault="00D35856">
            <w:pPr>
              <w:keepNext w:val="0"/>
              <w:widowControl w:val="0"/>
              <w:spacing w:before="20" w:after="20"/>
              <w:jc w:val="right"/>
              <w:rPr>
                <w:rFonts w:ascii="Arial" w:hAnsi="Arial" w:cs="Arial"/>
                <w:sz w:val="6"/>
                <w:szCs w:val="6"/>
              </w:rPr>
            </w:pPr>
          </w:p>
        </w:tc>
        <w:tc>
          <w:tcPr>
            <w:tcW w:w="442" w:type="pct"/>
            <w:tcBorders>
              <w:left w:val="nil"/>
              <w:right w:val="nil"/>
            </w:tcBorders>
            <w:tcMar>
              <w:left w:w="57" w:type="dxa"/>
              <w:right w:w="57" w:type="dxa"/>
            </w:tcMar>
          </w:tcPr>
          <w:p w:rsidR="00000000" w:rsidRDefault="00D35856">
            <w:pPr>
              <w:keepNext w:val="0"/>
              <w:widowControl w:val="0"/>
              <w:spacing w:before="20" w:after="20"/>
              <w:jc w:val="right"/>
              <w:rPr>
                <w:rFonts w:ascii="Arial" w:hAnsi="Arial" w:cs="Arial"/>
                <w:sz w:val="6"/>
                <w:szCs w:val="6"/>
              </w:rPr>
            </w:pPr>
          </w:p>
        </w:tc>
        <w:tc>
          <w:tcPr>
            <w:tcW w:w="442" w:type="pct"/>
            <w:tcBorders>
              <w:left w:val="nil"/>
              <w:right w:val="nil"/>
            </w:tcBorders>
            <w:tcMar>
              <w:left w:w="57" w:type="dxa"/>
              <w:right w:w="57" w:type="dxa"/>
            </w:tcMar>
          </w:tcPr>
          <w:p w:rsidR="00000000" w:rsidRDefault="00D35856">
            <w:pPr>
              <w:keepNext w:val="0"/>
              <w:widowControl w:val="0"/>
              <w:spacing w:before="20" w:after="20"/>
              <w:jc w:val="right"/>
              <w:rPr>
                <w:rFonts w:ascii="Arial" w:hAnsi="Arial" w:cs="Arial"/>
                <w:sz w:val="6"/>
                <w:szCs w:val="6"/>
              </w:rPr>
            </w:pPr>
          </w:p>
        </w:tc>
        <w:tc>
          <w:tcPr>
            <w:tcW w:w="442" w:type="pct"/>
            <w:tcBorders>
              <w:left w:val="nil"/>
              <w:right w:val="nil"/>
            </w:tcBorders>
            <w:tcMar>
              <w:left w:w="57" w:type="dxa"/>
              <w:right w:w="57" w:type="dxa"/>
            </w:tcMar>
          </w:tcPr>
          <w:p w:rsidR="00000000" w:rsidRDefault="00D35856">
            <w:pPr>
              <w:keepNext w:val="0"/>
              <w:widowControl w:val="0"/>
              <w:spacing w:before="20" w:after="20"/>
              <w:jc w:val="right"/>
              <w:rPr>
                <w:rFonts w:ascii="Arial" w:hAnsi="Arial" w:cs="Arial"/>
                <w:sz w:val="6"/>
                <w:szCs w:val="6"/>
              </w:rPr>
            </w:pPr>
          </w:p>
        </w:tc>
        <w:tc>
          <w:tcPr>
            <w:tcW w:w="440" w:type="pct"/>
            <w:tcBorders>
              <w:left w:val="nil"/>
            </w:tcBorders>
            <w:tcMar>
              <w:left w:w="57" w:type="dxa"/>
              <w:right w:w="57" w:type="dxa"/>
            </w:tcMar>
          </w:tcPr>
          <w:p w:rsidR="00000000" w:rsidRDefault="00D35856">
            <w:pPr>
              <w:keepNext w:val="0"/>
              <w:widowControl w:val="0"/>
              <w:spacing w:before="20" w:after="20"/>
              <w:jc w:val="right"/>
              <w:rPr>
                <w:rFonts w:ascii="Arial" w:hAnsi="Arial" w:cs="Arial"/>
                <w:sz w:val="6"/>
                <w:szCs w:val="6"/>
              </w:rPr>
            </w:pPr>
          </w:p>
        </w:tc>
      </w:tr>
      <w:tr w:rsidR="00000000">
        <w:tc>
          <w:tcPr>
            <w:tcW w:w="1498" w:type="pct"/>
            <w:vMerge w:val="restart"/>
            <w:tcBorders>
              <w:right w:val="nil"/>
            </w:tcBorders>
            <w:tcMar>
              <w:left w:w="57" w:type="dxa"/>
              <w:right w:w="57" w:type="dxa"/>
            </w:tcMar>
          </w:tcPr>
          <w:p w:rsidR="00000000" w:rsidRDefault="00D35856">
            <w:pPr>
              <w:keepNext w:val="0"/>
              <w:widowControl w:val="0"/>
              <w:spacing w:before="20" w:after="20"/>
              <w:rPr>
                <w:rFonts w:ascii="Arial" w:hAnsi="Arial" w:cs="Arial"/>
                <w:sz w:val="18"/>
                <w:szCs w:val="18"/>
              </w:rPr>
            </w:pPr>
            <w:r>
              <w:rPr>
                <w:rFonts w:ascii="Arial" w:hAnsi="Arial" w:cs="Arial"/>
                <w:sz w:val="18"/>
                <w:szCs w:val="18"/>
              </w:rPr>
              <w:t xml:space="preserve"> Costs from Dec 2007 to 2020-21 </w:t>
            </w:r>
            <w:r>
              <w:rPr>
                <w:rFonts w:ascii="Arial" w:hAnsi="Arial" w:cs="Arial"/>
                <w:sz w:val="18"/>
                <w:szCs w:val="18"/>
              </w:rPr>
              <w:t>based on projected registration numbers</w:t>
            </w:r>
          </w:p>
        </w:tc>
        <w:tc>
          <w:tcPr>
            <w:tcW w:w="410" w:type="pct"/>
            <w:tcBorders>
              <w:left w:val="nil"/>
              <w:bottom w:val="nil"/>
            </w:tcBorders>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1.6%</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$155</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$106</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$320</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$187</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$748</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$58</w:t>
            </w:r>
          </w:p>
        </w:tc>
        <w:tc>
          <w:tcPr>
            <w:tcW w:w="440"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$1574</w:t>
            </w:r>
          </w:p>
        </w:tc>
      </w:tr>
      <w:tr w:rsidR="00000000">
        <w:tc>
          <w:tcPr>
            <w:tcW w:w="1498" w:type="pct"/>
            <w:vMerge/>
            <w:tcBorders>
              <w:right w:val="nil"/>
            </w:tcBorders>
            <w:tcMar>
              <w:left w:w="57" w:type="dxa"/>
              <w:right w:w="57" w:type="dxa"/>
            </w:tcMar>
            <w:vAlign w:val="center"/>
          </w:tcPr>
          <w:p w:rsidR="00000000" w:rsidRDefault="00D35856">
            <w:pPr>
              <w:keepNext w:val="0"/>
              <w:widowControl w:val="0"/>
              <w:spacing w:before="20" w:after="20"/>
              <w:rPr>
                <w:rFonts w:ascii="Arial" w:hAnsi="Arial" w:cs="Arial"/>
                <w:sz w:val="18"/>
                <w:szCs w:val="18"/>
              </w:rPr>
            </w:pPr>
          </w:p>
        </w:tc>
        <w:tc>
          <w:tcPr>
            <w:tcW w:w="410" w:type="pct"/>
            <w:tcBorders>
              <w:top w:val="nil"/>
              <w:left w:val="nil"/>
              <w:bottom w:val="nil"/>
            </w:tcBorders>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3.5%</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$135</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$93</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$278</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$165</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$649</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$51</w:t>
            </w:r>
          </w:p>
        </w:tc>
        <w:tc>
          <w:tcPr>
            <w:tcW w:w="440"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$1372</w:t>
            </w:r>
          </w:p>
        </w:tc>
      </w:tr>
      <w:tr w:rsidR="00000000">
        <w:tc>
          <w:tcPr>
            <w:tcW w:w="1498" w:type="pct"/>
            <w:vMerge/>
            <w:tcBorders>
              <w:right w:val="nil"/>
            </w:tcBorders>
            <w:tcMar>
              <w:left w:w="57" w:type="dxa"/>
              <w:right w:w="57" w:type="dxa"/>
            </w:tcMar>
            <w:vAlign w:val="center"/>
          </w:tcPr>
          <w:p w:rsidR="00000000" w:rsidRDefault="00D35856">
            <w:pPr>
              <w:keepNext w:val="0"/>
              <w:widowControl w:val="0"/>
              <w:spacing w:before="20" w:after="20"/>
              <w:rPr>
                <w:rFonts w:ascii="Arial" w:hAnsi="Arial" w:cs="Arial"/>
                <w:sz w:val="18"/>
                <w:szCs w:val="18"/>
              </w:rPr>
            </w:pPr>
          </w:p>
        </w:tc>
        <w:tc>
          <w:tcPr>
            <w:tcW w:w="410" w:type="pct"/>
            <w:tcBorders>
              <w:top w:val="nil"/>
              <w:left w:val="nil"/>
              <w:bottom w:val="nil"/>
            </w:tcBorders>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4%</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$130</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$90</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$269</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$159</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$627</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$50</w:t>
            </w:r>
          </w:p>
        </w:tc>
        <w:tc>
          <w:tcPr>
            <w:tcW w:w="440"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$1324</w:t>
            </w:r>
          </w:p>
        </w:tc>
      </w:tr>
      <w:tr w:rsidR="00000000">
        <w:tc>
          <w:tcPr>
            <w:tcW w:w="1498" w:type="pct"/>
            <w:vMerge/>
            <w:tcBorders>
              <w:right w:val="nil"/>
            </w:tcBorders>
            <w:tcMar>
              <w:left w:w="57" w:type="dxa"/>
              <w:right w:w="57" w:type="dxa"/>
            </w:tcMar>
            <w:vAlign w:val="center"/>
          </w:tcPr>
          <w:p w:rsidR="00000000" w:rsidRDefault="00D35856">
            <w:pPr>
              <w:keepNext w:val="0"/>
              <w:widowControl w:val="0"/>
              <w:spacing w:before="20" w:after="20"/>
              <w:rPr>
                <w:rFonts w:ascii="Arial" w:hAnsi="Arial" w:cs="Arial"/>
                <w:sz w:val="6"/>
                <w:szCs w:val="6"/>
              </w:rPr>
            </w:pPr>
          </w:p>
        </w:tc>
        <w:tc>
          <w:tcPr>
            <w:tcW w:w="410" w:type="pct"/>
            <w:tcBorders>
              <w:top w:val="nil"/>
              <w:left w:val="nil"/>
              <w:bottom w:val="nil"/>
            </w:tcBorders>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7%</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$107</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$74</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$219</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$132</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$510</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$42</w:t>
            </w:r>
          </w:p>
        </w:tc>
        <w:tc>
          <w:tcPr>
            <w:tcW w:w="440"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$1085</w:t>
            </w:r>
          </w:p>
        </w:tc>
      </w:tr>
      <w:tr w:rsidR="00000000">
        <w:tc>
          <w:tcPr>
            <w:tcW w:w="1498" w:type="pct"/>
            <w:vMerge/>
            <w:tcBorders>
              <w:right w:val="nil"/>
            </w:tcBorders>
            <w:tcMar>
              <w:left w:w="57" w:type="dxa"/>
              <w:right w:w="57" w:type="dxa"/>
            </w:tcMar>
            <w:vAlign w:val="center"/>
          </w:tcPr>
          <w:p w:rsidR="00000000" w:rsidRDefault="00D35856">
            <w:pPr>
              <w:keepNext w:val="0"/>
              <w:widowControl w:val="0"/>
              <w:spacing w:before="20" w:after="20"/>
              <w:rPr>
                <w:rFonts w:ascii="Arial" w:hAnsi="Arial" w:cs="Arial"/>
                <w:b/>
                <w:sz w:val="18"/>
                <w:szCs w:val="18"/>
              </w:rPr>
            </w:pPr>
          </w:p>
        </w:tc>
        <w:tc>
          <w:tcPr>
            <w:tcW w:w="410" w:type="pct"/>
            <w:tcBorders>
              <w:top w:val="nil"/>
              <w:left w:val="nil"/>
            </w:tcBorders>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10%</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$90</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$62</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$182</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$112</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$423</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$36</w:t>
            </w:r>
          </w:p>
        </w:tc>
        <w:tc>
          <w:tcPr>
            <w:tcW w:w="440"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$903</w:t>
            </w:r>
          </w:p>
        </w:tc>
      </w:tr>
      <w:tr w:rsidR="00000000">
        <w:tc>
          <w:tcPr>
            <w:tcW w:w="1498" w:type="pct"/>
            <w:tcBorders>
              <w:right w:val="nil"/>
            </w:tcBorders>
            <w:tcMar>
              <w:left w:w="57" w:type="dxa"/>
              <w:right w:w="57" w:type="dxa"/>
            </w:tcMar>
            <w:vAlign w:val="center"/>
          </w:tcPr>
          <w:p w:rsidR="00000000" w:rsidRDefault="00D35856">
            <w:pPr>
              <w:keepNext w:val="0"/>
              <w:widowControl w:val="0"/>
              <w:spacing w:before="20" w:after="20"/>
              <w:rPr>
                <w:rFonts w:ascii="Arial" w:hAnsi="Arial" w:cs="Arial"/>
                <w:b/>
                <w:sz w:val="6"/>
                <w:szCs w:val="6"/>
              </w:rPr>
            </w:pPr>
          </w:p>
        </w:tc>
        <w:tc>
          <w:tcPr>
            <w:tcW w:w="410" w:type="pct"/>
            <w:tcBorders>
              <w:left w:val="nil"/>
              <w:right w:val="nil"/>
            </w:tcBorders>
            <w:tcMar>
              <w:left w:w="57" w:type="dxa"/>
              <w:right w:w="57" w:type="dxa"/>
            </w:tcMar>
            <w:vAlign w:val="center"/>
          </w:tcPr>
          <w:p w:rsidR="00000000" w:rsidRDefault="00D35856">
            <w:pPr>
              <w:keepNext w:val="0"/>
              <w:widowControl w:val="0"/>
              <w:spacing w:before="20" w:after="20"/>
              <w:rPr>
                <w:rFonts w:ascii="Arial" w:hAnsi="Arial" w:cs="Arial"/>
                <w:sz w:val="6"/>
                <w:szCs w:val="6"/>
              </w:rPr>
            </w:pPr>
          </w:p>
        </w:tc>
        <w:tc>
          <w:tcPr>
            <w:tcW w:w="442" w:type="pct"/>
            <w:tcBorders>
              <w:left w:val="nil"/>
              <w:right w:val="nil"/>
            </w:tcBorders>
            <w:tcMar>
              <w:left w:w="57" w:type="dxa"/>
              <w:right w:w="57" w:type="dxa"/>
            </w:tcMar>
          </w:tcPr>
          <w:p w:rsidR="00000000" w:rsidRDefault="00D35856">
            <w:pPr>
              <w:keepNext w:val="0"/>
              <w:widowControl w:val="0"/>
              <w:spacing w:before="20" w:after="20"/>
              <w:jc w:val="right"/>
              <w:rPr>
                <w:rFonts w:ascii="Arial" w:hAnsi="Arial" w:cs="Arial"/>
                <w:sz w:val="6"/>
                <w:szCs w:val="6"/>
              </w:rPr>
            </w:pPr>
          </w:p>
        </w:tc>
        <w:tc>
          <w:tcPr>
            <w:tcW w:w="442" w:type="pct"/>
            <w:tcBorders>
              <w:left w:val="nil"/>
              <w:right w:val="nil"/>
            </w:tcBorders>
            <w:tcMar>
              <w:left w:w="57" w:type="dxa"/>
              <w:right w:w="57" w:type="dxa"/>
            </w:tcMar>
          </w:tcPr>
          <w:p w:rsidR="00000000" w:rsidRDefault="00D35856">
            <w:pPr>
              <w:keepNext w:val="0"/>
              <w:widowControl w:val="0"/>
              <w:spacing w:before="20" w:after="20"/>
              <w:jc w:val="right"/>
              <w:rPr>
                <w:rFonts w:ascii="Arial" w:hAnsi="Arial" w:cs="Arial"/>
                <w:sz w:val="6"/>
                <w:szCs w:val="6"/>
              </w:rPr>
            </w:pPr>
          </w:p>
        </w:tc>
        <w:tc>
          <w:tcPr>
            <w:tcW w:w="442" w:type="pct"/>
            <w:tcBorders>
              <w:left w:val="nil"/>
              <w:right w:val="nil"/>
            </w:tcBorders>
            <w:tcMar>
              <w:left w:w="57" w:type="dxa"/>
              <w:right w:w="57" w:type="dxa"/>
            </w:tcMar>
          </w:tcPr>
          <w:p w:rsidR="00000000" w:rsidRDefault="00D35856">
            <w:pPr>
              <w:keepNext w:val="0"/>
              <w:widowControl w:val="0"/>
              <w:spacing w:before="20" w:after="20"/>
              <w:jc w:val="right"/>
              <w:rPr>
                <w:rFonts w:ascii="Arial" w:hAnsi="Arial" w:cs="Arial"/>
                <w:sz w:val="6"/>
                <w:szCs w:val="6"/>
              </w:rPr>
            </w:pPr>
          </w:p>
        </w:tc>
        <w:tc>
          <w:tcPr>
            <w:tcW w:w="442" w:type="pct"/>
            <w:tcBorders>
              <w:left w:val="nil"/>
              <w:right w:val="nil"/>
            </w:tcBorders>
            <w:tcMar>
              <w:left w:w="57" w:type="dxa"/>
              <w:right w:w="57" w:type="dxa"/>
            </w:tcMar>
          </w:tcPr>
          <w:p w:rsidR="00000000" w:rsidRDefault="00D35856">
            <w:pPr>
              <w:keepNext w:val="0"/>
              <w:widowControl w:val="0"/>
              <w:spacing w:before="20" w:after="20"/>
              <w:jc w:val="right"/>
              <w:rPr>
                <w:rFonts w:ascii="Arial" w:hAnsi="Arial" w:cs="Arial"/>
                <w:sz w:val="6"/>
                <w:szCs w:val="6"/>
              </w:rPr>
            </w:pPr>
          </w:p>
        </w:tc>
        <w:tc>
          <w:tcPr>
            <w:tcW w:w="442" w:type="pct"/>
            <w:tcBorders>
              <w:left w:val="nil"/>
              <w:right w:val="nil"/>
            </w:tcBorders>
            <w:tcMar>
              <w:left w:w="57" w:type="dxa"/>
              <w:right w:w="57" w:type="dxa"/>
            </w:tcMar>
          </w:tcPr>
          <w:p w:rsidR="00000000" w:rsidRDefault="00D35856">
            <w:pPr>
              <w:keepNext w:val="0"/>
              <w:widowControl w:val="0"/>
              <w:spacing w:before="20" w:after="20"/>
              <w:jc w:val="right"/>
              <w:rPr>
                <w:rFonts w:ascii="Arial" w:hAnsi="Arial" w:cs="Arial"/>
                <w:sz w:val="6"/>
                <w:szCs w:val="6"/>
              </w:rPr>
            </w:pPr>
          </w:p>
        </w:tc>
        <w:tc>
          <w:tcPr>
            <w:tcW w:w="442" w:type="pct"/>
            <w:tcBorders>
              <w:left w:val="nil"/>
              <w:right w:val="nil"/>
            </w:tcBorders>
            <w:tcMar>
              <w:left w:w="57" w:type="dxa"/>
              <w:right w:w="57" w:type="dxa"/>
            </w:tcMar>
          </w:tcPr>
          <w:p w:rsidR="00000000" w:rsidRDefault="00D35856">
            <w:pPr>
              <w:keepNext w:val="0"/>
              <w:widowControl w:val="0"/>
              <w:spacing w:before="20" w:after="20"/>
              <w:jc w:val="right"/>
              <w:rPr>
                <w:rFonts w:ascii="Arial" w:hAnsi="Arial" w:cs="Arial"/>
                <w:sz w:val="6"/>
                <w:szCs w:val="6"/>
              </w:rPr>
            </w:pPr>
          </w:p>
        </w:tc>
        <w:tc>
          <w:tcPr>
            <w:tcW w:w="440" w:type="pct"/>
            <w:tcBorders>
              <w:left w:val="nil"/>
            </w:tcBorders>
            <w:tcMar>
              <w:left w:w="57" w:type="dxa"/>
              <w:right w:w="57" w:type="dxa"/>
            </w:tcMar>
          </w:tcPr>
          <w:p w:rsidR="00000000" w:rsidRDefault="00D35856">
            <w:pPr>
              <w:keepNext w:val="0"/>
              <w:widowControl w:val="0"/>
              <w:spacing w:before="20" w:after="20"/>
              <w:jc w:val="right"/>
              <w:rPr>
                <w:rFonts w:ascii="Arial" w:hAnsi="Arial" w:cs="Arial"/>
                <w:sz w:val="6"/>
                <w:szCs w:val="6"/>
              </w:rPr>
            </w:pPr>
          </w:p>
        </w:tc>
      </w:tr>
      <w:tr w:rsidR="00000000">
        <w:tc>
          <w:tcPr>
            <w:tcW w:w="1498" w:type="pct"/>
            <w:tcBorders>
              <w:bottom w:val="nil"/>
              <w:right w:val="nil"/>
            </w:tcBorders>
            <w:tcMar>
              <w:left w:w="57" w:type="dxa"/>
              <w:right w:w="57" w:type="dxa"/>
            </w:tcMar>
            <w:vAlign w:val="center"/>
          </w:tcPr>
          <w:p w:rsidR="00000000" w:rsidRDefault="00D35856">
            <w:pPr>
              <w:keepNext w:val="0"/>
              <w:widowControl w:val="0"/>
              <w:spacing w:before="20" w:after="20"/>
              <w:rPr>
                <w:rFonts w:ascii="Arial" w:hAnsi="Arial" w:cs="Arial"/>
                <w:sz w:val="18"/>
                <w:szCs w:val="18"/>
              </w:rPr>
            </w:pPr>
            <w:r>
              <w:rPr>
                <w:rFonts w:ascii="Arial" w:hAnsi="Arial" w:cs="Arial"/>
                <w:b/>
                <w:sz w:val="18"/>
                <w:szCs w:val="18"/>
              </w:rPr>
              <w:t>Total</w:t>
            </w:r>
          </w:p>
        </w:tc>
        <w:tc>
          <w:tcPr>
            <w:tcW w:w="410" w:type="pct"/>
            <w:tcBorders>
              <w:left w:val="nil"/>
              <w:bottom w:val="nil"/>
            </w:tcBorders>
            <w:tcMar>
              <w:left w:w="57" w:type="dxa"/>
              <w:right w:w="57" w:type="dxa"/>
            </w:tcMar>
            <w:vAlign w:val="center"/>
          </w:tcPr>
          <w:p w:rsidR="00000000" w:rsidRDefault="00D35856">
            <w:pPr>
              <w:keepNext w:val="0"/>
              <w:widowControl w:val="0"/>
              <w:spacing w:before="20" w:after="20"/>
              <w:jc w:val="right"/>
              <w:rPr>
                <w:rFonts w:ascii="Arial" w:hAnsi="Arial" w:cs="Arial"/>
                <w:bCs/>
                <w:sz w:val="18"/>
                <w:szCs w:val="18"/>
              </w:rPr>
            </w:pPr>
            <w:r>
              <w:rPr>
                <w:rFonts w:ascii="Arial" w:hAnsi="Arial" w:cs="Arial"/>
                <w:bCs/>
                <w:sz w:val="18"/>
                <w:szCs w:val="18"/>
              </w:rPr>
              <w:t>1.6%</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$222</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$164</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$427</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$382</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$1,083</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$81</w:t>
            </w:r>
          </w:p>
        </w:tc>
        <w:tc>
          <w:tcPr>
            <w:tcW w:w="440"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$2359</w:t>
            </w:r>
          </w:p>
        </w:tc>
      </w:tr>
      <w:tr w:rsidR="00000000">
        <w:tc>
          <w:tcPr>
            <w:tcW w:w="1498" w:type="pct"/>
            <w:tcBorders>
              <w:top w:val="nil"/>
              <w:bottom w:val="nil"/>
              <w:right w:val="nil"/>
            </w:tcBorders>
            <w:tcMar>
              <w:left w:w="57" w:type="dxa"/>
              <w:right w:w="57" w:type="dxa"/>
            </w:tcMar>
            <w:vAlign w:val="center"/>
          </w:tcPr>
          <w:p w:rsidR="00000000" w:rsidRDefault="00D35856">
            <w:pPr>
              <w:keepNext w:val="0"/>
              <w:widowControl w:val="0"/>
              <w:spacing w:before="20" w:after="20"/>
              <w:rPr>
                <w:rFonts w:ascii="Arial" w:hAnsi="Arial" w:cs="Arial"/>
                <w:sz w:val="18"/>
                <w:szCs w:val="18"/>
              </w:rPr>
            </w:pPr>
          </w:p>
        </w:tc>
        <w:tc>
          <w:tcPr>
            <w:tcW w:w="410" w:type="pct"/>
            <w:tcBorders>
              <w:top w:val="nil"/>
              <w:left w:val="nil"/>
              <w:bottom w:val="nil"/>
            </w:tcBorders>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3.5%</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$203</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$151</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$385</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$359</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$985</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$74</w:t>
            </w:r>
          </w:p>
        </w:tc>
        <w:tc>
          <w:tcPr>
            <w:tcW w:w="440"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$2156</w:t>
            </w:r>
          </w:p>
        </w:tc>
      </w:tr>
      <w:tr w:rsidR="00000000">
        <w:tc>
          <w:tcPr>
            <w:tcW w:w="1498" w:type="pct"/>
            <w:tcBorders>
              <w:top w:val="nil"/>
              <w:bottom w:val="nil"/>
              <w:right w:val="nil"/>
            </w:tcBorders>
            <w:tcMar>
              <w:left w:w="57" w:type="dxa"/>
              <w:right w:w="57" w:type="dxa"/>
            </w:tcMar>
            <w:vAlign w:val="center"/>
          </w:tcPr>
          <w:p w:rsidR="00000000" w:rsidRDefault="00D35856">
            <w:pPr>
              <w:keepNext w:val="0"/>
              <w:widowControl w:val="0"/>
              <w:spacing w:before="20" w:after="20"/>
              <w:rPr>
                <w:rFonts w:ascii="Arial" w:hAnsi="Arial" w:cs="Arial"/>
                <w:sz w:val="18"/>
                <w:szCs w:val="18"/>
              </w:rPr>
            </w:pPr>
            <w:r>
              <w:rPr>
                <w:rFonts w:ascii="Arial" w:hAnsi="Arial" w:cs="Arial"/>
                <w:sz w:val="18"/>
                <w:szCs w:val="18"/>
              </w:rPr>
              <w:t> </w:t>
            </w:r>
          </w:p>
        </w:tc>
        <w:tc>
          <w:tcPr>
            <w:tcW w:w="410" w:type="pct"/>
            <w:tcBorders>
              <w:top w:val="nil"/>
              <w:left w:val="nil"/>
              <w:bottom w:val="nil"/>
            </w:tcBorders>
            <w:tcMar>
              <w:left w:w="57" w:type="dxa"/>
              <w:right w:w="57" w:type="dxa"/>
            </w:tcMar>
            <w:vAlign w:val="cente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4%</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$198</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$148</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$375</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$354</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$962</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$73</w:t>
            </w:r>
          </w:p>
        </w:tc>
        <w:tc>
          <w:tcPr>
            <w:tcW w:w="440"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$2109</w:t>
            </w:r>
          </w:p>
        </w:tc>
      </w:tr>
      <w:tr w:rsidR="00000000">
        <w:tc>
          <w:tcPr>
            <w:tcW w:w="1498" w:type="pct"/>
            <w:tcBorders>
              <w:top w:val="nil"/>
              <w:bottom w:val="nil"/>
              <w:right w:val="nil"/>
            </w:tcBorders>
            <w:tcMar>
              <w:left w:w="57" w:type="dxa"/>
              <w:right w:w="57" w:type="dxa"/>
            </w:tcMar>
            <w:vAlign w:val="center"/>
          </w:tcPr>
          <w:p w:rsidR="00000000" w:rsidRDefault="00D35856">
            <w:pPr>
              <w:keepNext w:val="0"/>
              <w:widowControl w:val="0"/>
              <w:spacing w:before="20" w:after="20"/>
              <w:rPr>
                <w:rFonts w:ascii="Arial" w:hAnsi="Arial" w:cs="Arial"/>
                <w:sz w:val="18"/>
                <w:szCs w:val="18"/>
              </w:rPr>
            </w:pPr>
          </w:p>
        </w:tc>
        <w:tc>
          <w:tcPr>
            <w:tcW w:w="410" w:type="pct"/>
            <w:tcBorders>
              <w:top w:val="nil"/>
              <w:left w:val="nil"/>
              <w:bottom w:val="nil"/>
            </w:tcBorders>
            <w:tcMar>
              <w:left w:w="57" w:type="dxa"/>
              <w:right w:w="57" w:type="dxa"/>
            </w:tcMar>
            <w:vAlign w:val="center"/>
          </w:tcPr>
          <w:p w:rsidR="00000000" w:rsidRDefault="00D35856">
            <w:pPr>
              <w:keepNext w:val="0"/>
              <w:widowControl w:val="0"/>
              <w:spacing w:before="20" w:after="20"/>
              <w:jc w:val="right"/>
              <w:rPr>
                <w:rFonts w:ascii="Arial" w:hAnsi="Arial" w:cs="Arial"/>
                <w:bCs/>
                <w:sz w:val="18"/>
                <w:szCs w:val="18"/>
              </w:rPr>
            </w:pPr>
            <w:r>
              <w:rPr>
                <w:rFonts w:ascii="Arial" w:hAnsi="Arial" w:cs="Arial"/>
                <w:bCs/>
                <w:sz w:val="18"/>
                <w:szCs w:val="18"/>
              </w:rPr>
              <w:t>7%</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$175</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$132</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$326</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$327</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$845</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$64</w:t>
            </w:r>
          </w:p>
        </w:tc>
        <w:tc>
          <w:tcPr>
            <w:tcW w:w="440"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$1869</w:t>
            </w:r>
          </w:p>
        </w:tc>
      </w:tr>
      <w:tr w:rsidR="00000000">
        <w:tc>
          <w:tcPr>
            <w:tcW w:w="1498" w:type="pct"/>
            <w:tcBorders>
              <w:top w:val="nil"/>
              <w:right w:val="nil"/>
            </w:tcBorders>
            <w:tcMar>
              <w:left w:w="57" w:type="dxa"/>
              <w:right w:w="57" w:type="dxa"/>
            </w:tcMar>
            <w:vAlign w:val="center"/>
          </w:tcPr>
          <w:p w:rsidR="00000000" w:rsidRDefault="00D35856">
            <w:pPr>
              <w:keepNext w:val="0"/>
              <w:widowControl w:val="0"/>
              <w:spacing w:before="20" w:after="20"/>
              <w:rPr>
                <w:rFonts w:ascii="Arial" w:hAnsi="Arial" w:cs="Arial"/>
                <w:sz w:val="18"/>
                <w:szCs w:val="18"/>
              </w:rPr>
            </w:pPr>
          </w:p>
        </w:tc>
        <w:tc>
          <w:tcPr>
            <w:tcW w:w="410" w:type="pct"/>
            <w:tcBorders>
              <w:top w:val="nil"/>
              <w:left w:val="nil"/>
            </w:tcBorders>
            <w:tcMar>
              <w:left w:w="57" w:type="dxa"/>
              <w:right w:w="57" w:type="dxa"/>
            </w:tcMar>
            <w:vAlign w:val="center"/>
          </w:tcPr>
          <w:p w:rsidR="00000000" w:rsidRDefault="00D35856">
            <w:pPr>
              <w:keepNext w:val="0"/>
              <w:widowControl w:val="0"/>
              <w:spacing w:before="20" w:after="20"/>
              <w:jc w:val="right"/>
              <w:rPr>
                <w:rFonts w:ascii="Arial" w:hAnsi="Arial" w:cs="Arial"/>
                <w:bCs/>
                <w:sz w:val="18"/>
                <w:szCs w:val="18"/>
              </w:rPr>
            </w:pPr>
            <w:r>
              <w:rPr>
                <w:rFonts w:ascii="Arial" w:hAnsi="Arial" w:cs="Arial"/>
                <w:bCs/>
                <w:sz w:val="18"/>
                <w:szCs w:val="18"/>
              </w:rPr>
              <w:t>10%</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$157</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$120</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$289</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$306</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$758</w:t>
            </w:r>
          </w:p>
        </w:tc>
        <w:tc>
          <w:tcPr>
            <w:tcW w:w="442"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$58</w:t>
            </w:r>
          </w:p>
        </w:tc>
        <w:tc>
          <w:tcPr>
            <w:tcW w:w="440" w:type="pct"/>
            <w:tcMar>
              <w:left w:w="57" w:type="dxa"/>
              <w:right w:w="57" w:type="dxa"/>
            </w:tcMar>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$1688</w:t>
            </w:r>
          </w:p>
        </w:tc>
      </w:tr>
    </w:tbl>
    <w:p w:rsidR="00000000" w:rsidRDefault="00D35856">
      <w:pPr>
        <w:keepNext w:val="0"/>
        <w:widowControl w:val="0"/>
        <w:rPr>
          <w:sz w:val="18"/>
          <w:szCs w:val="18"/>
        </w:rPr>
      </w:pPr>
      <w:r>
        <w:rPr>
          <w:sz w:val="18"/>
          <w:szCs w:val="18"/>
        </w:rPr>
        <w:t>Note: These estimated using an average time cost rate of $25/hour (based on data from ABS 6302.0 on the average weekly earnings of the Manufacturing Industry for the four quarters ending August 2007) and an overhead rate of 0.5. See list of Abbreviations o</w:t>
      </w:r>
      <w:r>
        <w:rPr>
          <w:sz w:val="18"/>
          <w:szCs w:val="18"/>
        </w:rPr>
        <w:t>n page ix for acronyms.</w:t>
      </w:r>
    </w:p>
    <w:tbl>
      <w:tblPr>
        <w:tblStyle w:val="TableGrid"/>
        <w:tblW w:w="0" w:type="auto"/>
        <w:tblLook w:val="01E0"/>
      </w:tblPr>
      <w:tblGrid>
        <w:gridCol w:w="8714"/>
      </w:tblGrid>
      <w:tr w:rsidR="00000000">
        <w:tc>
          <w:tcPr>
            <w:tcW w:w="8714" w:type="dxa"/>
          </w:tcPr>
          <w:p w:rsidR="00000000" w:rsidRDefault="00D35856">
            <w:pPr>
              <w:keepNext w:val="0"/>
              <w:widowControl w:val="0"/>
              <w:rPr>
                <w:rFonts w:ascii="Arial" w:hAnsi="Arial" w:cs="Arial"/>
                <w:b/>
                <w:szCs w:val="19"/>
              </w:rPr>
            </w:pPr>
            <w:r>
              <w:rPr>
                <w:rFonts w:ascii="Arial" w:hAnsi="Arial" w:cs="Arial"/>
                <w:b/>
                <w:szCs w:val="19"/>
              </w:rPr>
              <w:t>Parameter sensitivity: time spent on registration process</w:t>
            </w:r>
          </w:p>
          <w:p w:rsidR="00000000" w:rsidRDefault="00D35856">
            <w:pPr>
              <w:keepNext w:val="0"/>
              <w:rPr>
                <w:rFonts w:ascii="Arial" w:hAnsi="Arial" w:cs="Arial"/>
                <w:szCs w:val="19"/>
              </w:rPr>
            </w:pPr>
            <w:r>
              <w:rPr>
                <w:rFonts w:ascii="Arial" w:hAnsi="Arial" w:cs="Arial"/>
                <w:szCs w:val="19"/>
              </w:rPr>
              <w:t xml:space="preserve">Estimations of the total cost to suppliers and manufacturers of registration depends on various factors, including the cost of staff time spent on registration processes. </w:t>
            </w:r>
          </w:p>
          <w:p w:rsidR="00000000" w:rsidRDefault="00D35856">
            <w:pPr>
              <w:keepNext w:val="0"/>
              <w:rPr>
                <w:rFonts w:ascii="Arial" w:hAnsi="Arial" w:cs="Arial"/>
                <w:szCs w:val="19"/>
              </w:rPr>
            </w:pPr>
            <w:r>
              <w:rPr>
                <w:rFonts w:ascii="Arial" w:hAnsi="Arial" w:cs="Arial"/>
                <w:szCs w:val="19"/>
              </w:rPr>
              <w:t>Fo</w:t>
            </w:r>
            <w:r>
              <w:rPr>
                <w:rFonts w:ascii="Arial" w:hAnsi="Arial" w:cs="Arial"/>
                <w:szCs w:val="19"/>
              </w:rPr>
              <w:t>r example, if on average 28 hours of staff time are required for an initial registration, 6 hours for each addition and 8 hours to process each returned registration to completion (rather than 7-14, 3 and 4 hours estimated as above), the total time cost of</w:t>
            </w:r>
            <w:r>
              <w:rPr>
                <w:rFonts w:ascii="Arial" w:hAnsi="Arial" w:cs="Arial"/>
                <w:szCs w:val="19"/>
              </w:rPr>
              <w:t xml:space="preserve"> registration process to suppliers and manufacturers (2005—2006 to 2020—2021) would be NPV $4.2m (at 10% discount rate) to $6.0m (at 1.6% discount rate), compared to $1.7m to $2.4m as estimated above.</w:t>
            </w:r>
          </w:p>
        </w:tc>
      </w:tr>
    </w:tbl>
    <w:p w:rsidR="00000000" w:rsidRDefault="00D35856">
      <w:pPr>
        <w:keepNext w:val="0"/>
        <w:widowControl w:val="0"/>
        <w:rPr>
          <w:rFonts w:ascii="Arial" w:hAnsi="Arial" w:cs="Arial"/>
          <w:b/>
          <w:sz w:val="19"/>
          <w:szCs w:val="19"/>
        </w:rPr>
      </w:pPr>
    </w:p>
    <w:p w:rsidR="00000000" w:rsidRDefault="00D35856">
      <w:pPr>
        <w:pStyle w:val="Heading3"/>
        <w:keepNext w:val="0"/>
        <w:numPr>
          <w:ilvl w:val="2"/>
          <w:numId w:val="3"/>
        </w:numPr>
        <w:tabs>
          <w:tab w:val="clear" w:pos="1440"/>
        </w:tabs>
        <w:ind w:left="851" w:hanging="851"/>
        <w:rPr>
          <w:color w:val="auto"/>
        </w:rPr>
      </w:pPr>
      <w:bookmarkStart w:id="171" w:name="_Toc199933753"/>
      <w:r>
        <w:rPr>
          <w:color w:val="auto"/>
        </w:rPr>
        <w:t>Other potential registration issues and costs</w:t>
      </w:r>
      <w:bookmarkEnd w:id="171"/>
    </w:p>
    <w:p w:rsidR="00000000" w:rsidRDefault="00D35856">
      <w:pPr>
        <w:keepNext w:val="0"/>
        <w:widowControl w:val="0"/>
      </w:pPr>
      <w:r>
        <w:t xml:space="preserve">Suppliers interviewed for this study identified a number of other, indirect costs associated with the registration process. </w:t>
      </w:r>
    </w:p>
    <w:p w:rsidR="00000000" w:rsidRDefault="00D35856">
      <w:pPr>
        <w:keepNext w:val="0"/>
        <w:widowControl w:val="0"/>
      </w:pPr>
      <w:r>
        <w:t>In addition to the staff time taken to complete registration process, su</w:t>
      </w:r>
      <w:r>
        <w:t xml:space="preserve">ppliers noted that delays and uncertainties about how long the approval process would take hampered product advertising and marketing opportunities. They noted that waiting for feedback (claims range from weeks to several months) from </w:t>
      </w:r>
      <w:smartTag w:uri="urn:schemas-microsoft-com:office:smarttags" w:element="City">
        <w:r>
          <w:t>WELS</w:t>
        </w:r>
      </w:smartTag>
      <w:r>
        <w:t xml:space="preserve"> administ</w:t>
      </w:r>
      <w:r>
        <w:t>rators is problematic, particularly if there are several rounds of amendments required for each registration. In contrast, DEWHA (pers. comm.) noted that registrations requiring amendments are usually returned to applicants within 2 or 3 weeks. However, be</w:t>
      </w:r>
      <w:r>
        <w:t>cause data on the number of returns for each application or the time periods between application receipt, return and approval are not collected, it has not been possible to quantify or verify this issue in this study.</w:t>
      </w:r>
    </w:p>
    <w:p w:rsidR="00000000" w:rsidRDefault="00D35856">
      <w:pPr>
        <w:keepNext w:val="0"/>
        <w:widowControl w:val="0"/>
      </w:pPr>
      <w:r>
        <w:t>Another concern raised by many industr</w:t>
      </w:r>
      <w:r>
        <w:t xml:space="preserve">y stakeholders is the lack of cohesion between </w:t>
      </w:r>
      <w:smartTag w:uri="urn:schemas-microsoft-com:office:smarttags" w:element="City">
        <w:r>
          <w:t>WELS</w:t>
        </w:r>
      </w:smartTag>
      <w:r>
        <w:t xml:space="preserve"> and the WaterMark scheme, the latter of which aims primarily to safeguard public health and safety.  In particular, stakeholders were concerned that the validity and effectiveness of both schemes </w:t>
      </w:r>
      <w:r>
        <w:t xml:space="preserve">are compromised because WaterMark certification is currently not required for </w:t>
      </w:r>
      <w:smartTag w:uri="urn:schemas-microsoft-com:office:smarttags" w:element="City">
        <w:r>
          <w:t>WELS</w:t>
        </w:r>
      </w:smartTag>
      <w:r>
        <w:t xml:space="preserve"> registration approval. Industry stakeholders are </w:t>
      </w:r>
      <w:r>
        <w:lastRenderedPageBreak/>
        <w:t xml:space="preserve">concerned that as a result, some suppliers are obtaining </w:t>
      </w:r>
      <w:smartTag w:uri="urn:schemas-microsoft-com:office:smarttags" w:element="City">
        <w:r>
          <w:t>WELS</w:t>
        </w:r>
      </w:smartTag>
      <w:r>
        <w:t xml:space="preserve"> registration for products that would not pass </w:t>
      </w:r>
      <w:r>
        <w:t xml:space="preserve">the WaterMark standard. They argued that, as per the recommendation made by the recent House of Representatives Standing Committee on Environment and Heritage inquiry into regulation of plumbing product quality in </w:t>
      </w:r>
      <w:smartTag w:uri="urn:schemas-microsoft-com:office:smarttags" w:element="City">
        <w:r>
          <w:t>Australia</w:t>
        </w:r>
      </w:smartTag>
      <w:r>
        <w:t>, “the Australian Governm</w:t>
      </w:r>
      <w:r>
        <w:t>ent [should] act to make the necessary legislative changes to establish WaterMark Certification as a prerequisite for compliance with the Water Efficiency Labelling Standards Scheme”. Nevertheless, although this issue was raised by many industry stakeholde</w:t>
      </w:r>
      <w:r>
        <w:t xml:space="preserve">rs, it was beyond the scope of this study to quantify the potential costs associated with the inconsistency between the </w:t>
      </w:r>
      <w:smartTag w:uri="urn:schemas-microsoft-com:office:smarttags" w:element="City">
        <w:r>
          <w:t>WELS</w:t>
        </w:r>
      </w:smartTag>
      <w:r>
        <w:t xml:space="preserve"> and WaterMark certification schemes.</w:t>
      </w:r>
    </w:p>
    <w:p w:rsidR="00000000" w:rsidRDefault="00D35856">
      <w:pPr>
        <w:keepNext w:val="0"/>
        <w:widowControl w:val="0"/>
      </w:pPr>
      <w:r>
        <w:t xml:space="preserve">A third area of concern noted by industry stakeholders is the lack of enforcement and </w:t>
      </w:r>
      <w:r>
        <w:t xml:space="preserve">compliance activities undertaken to date. Lack of clarity about expected enforcement can potentially inhibit innovation. Furthermore, if compliance levels are low, both the costs and effectiveness of </w:t>
      </w:r>
      <w:smartTag w:uri="urn:schemas-microsoft-com:office:smarttags" w:element="City">
        <w:r>
          <w:t>WELS</w:t>
        </w:r>
      </w:smartTag>
      <w:r>
        <w:t xml:space="preserve"> will be lower than estimated above.</w:t>
      </w:r>
    </w:p>
    <w:p w:rsidR="00000000" w:rsidRDefault="00D35856">
      <w:pPr>
        <w:keepNext w:val="0"/>
        <w:widowControl w:val="0"/>
      </w:pPr>
      <w:r>
        <w:t>Industr</w:t>
      </w:r>
      <w:r>
        <w:t>y stakeholders also noted an earlier lack of flexibility in method of payment. Initially, payments could be made by cheque only and several stakeholders reported difficulties (and consequently delays in registration) in raising cheques without invoices. Mo</w:t>
      </w:r>
      <w:r>
        <w:t>re recently, however, online credit card payment facilities have been implemented.</w:t>
      </w:r>
    </w:p>
    <w:p w:rsidR="00000000" w:rsidRDefault="00D35856">
      <w:pPr>
        <w:pStyle w:val="Heading2"/>
        <w:numPr>
          <w:ilvl w:val="1"/>
          <w:numId w:val="3"/>
        </w:numPr>
        <w:tabs>
          <w:tab w:val="clear" w:pos="1296"/>
        </w:tabs>
        <w:ind w:left="567" w:hanging="567"/>
        <w:rPr>
          <w:color w:val="auto"/>
        </w:rPr>
      </w:pPr>
      <w:bookmarkStart w:id="172" w:name="_Toc187737292"/>
      <w:bookmarkStart w:id="173" w:name="_Toc199933754"/>
      <w:r>
        <w:rPr>
          <w:color w:val="auto"/>
        </w:rPr>
        <w:t>Labelling costs</w:t>
      </w:r>
      <w:bookmarkEnd w:id="172"/>
      <w:bookmarkEnd w:id="173"/>
    </w:p>
    <w:p w:rsidR="00000000" w:rsidRDefault="00D35856">
      <w:pPr>
        <w:keepNext w:val="0"/>
        <w:widowControl w:val="0"/>
      </w:pPr>
      <w:smartTag w:uri="urn:schemas-microsoft-com:office:smarttags" w:element="City">
        <w:r>
          <w:t>WELS</w:t>
        </w:r>
      </w:smartTag>
      <w:r>
        <w:t xml:space="preserve"> requires that each unit sold to customers carries a specified water efficiency label. Th</w:t>
      </w:r>
      <w:r>
        <w:t>e assumptions about labelling costs per unit made in the RIS (10c for washing machines and dishwashers and 20c for other products) were checked with a small sample of industry stakeholders who confirmed the labelling costs of were generally realistic. Howe</w:t>
      </w:r>
      <w:r>
        <w:t xml:space="preserve">ver, labelling costs per unit vary between suppliers, with some reporting higher labelling costs (for example, due to more than one label requiring affixing to toilets comprising different parts) or lower labelling costs (if productions scales are large). </w:t>
      </w:r>
      <w:r>
        <w:t xml:space="preserve">Labelling costs are summarised in </w:t>
      </w:r>
      <w:fldSimple w:instr=" REF _Ref188074346 \h  \* MERGEFORMAT ">
        <w:r>
          <w:t xml:space="preserve">Table </w:t>
        </w:r>
        <w:r>
          <w:rPr>
            <w:noProof/>
          </w:rPr>
          <w:t>4</w:t>
        </w:r>
        <w:r>
          <w:rPr>
            <w:noProof/>
          </w:rPr>
          <w:noBreakHyphen/>
          <w:t>11</w:t>
        </w:r>
      </w:fldSimple>
      <w:r>
        <w:t>.</w:t>
      </w:r>
    </w:p>
    <w:p w:rsidR="00000000" w:rsidRDefault="00D35856">
      <w:pPr>
        <w:pStyle w:val="Caption"/>
        <w:keepNext w:val="0"/>
      </w:pPr>
      <w:bookmarkStart w:id="174" w:name="_Ref188074346"/>
      <w:bookmarkStart w:id="175" w:name="_Toc199933804"/>
      <w:r>
        <w:t xml:space="preserve">Table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Table \* ARABIC \s 1 </w:instrText>
      </w:r>
      <w:r>
        <w:fldChar w:fldCharType="separate"/>
      </w:r>
      <w:r>
        <w:rPr>
          <w:noProof/>
        </w:rPr>
        <w:t>11</w:t>
      </w:r>
      <w:r>
        <w:fldChar w:fldCharType="end"/>
      </w:r>
      <w:bookmarkEnd w:id="174"/>
      <w:r>
        <w:t>: Net Pre</w:t>
      </w:r>
      <w:r>
        <w:t>sent Value labelling costs</w:t>
      </w:r>
      <w:bookmarkEnd w:id="175"/>
    </w:p>
    <w:tbl>
      <w:tblPr>
        <w:tblStyle w:val="TableGrid"/>
        <w:tblW w:w="0" w:type="auto"/>
        <w:tblLook w:val="01E0"/>
      </w:tblPr>
      <w:tblGrid>
        <w:gridCol w:w="3167"/>
        <w:gridCol w:w="627"/>
        <w:gridCol w:w="717"/>
        <w:gridCol w:w="617"/>
        <w:gridCol w:w="717"/>
        <w:gridCol w:w="717"/>
        <w:gridCol w:w="717"/>
        <w:gridCol w:w="617"/>
        <w:gridCol w:w="767"/>
      </w:tblGrid>
      <w:tr w:rsidR="00000000">
        <w:trPr>
          <w:trHeight w:val="381"/>
        </w:trPr>
        <w:tc>
          <w:tcPr>
            <w:tcW w:w="0" w:type="auto"/>
            <w:tcBorders>
              <w:right w:val="nil"/>
            </w:tcBorders>
            <w:shd w:val="clear" w:color="auto" w:fill="CCCCCC"/>
            <w:tcMar>
              <w:left w:w="57" w:type="dxa"/>
              <w:right w:w="57" w:type="dxa"/>
            </w:tcMar>
          </w:tcPr>
          <w:p w:rsidR="00000000" w:rsidRDefault="00D35856">
            <w:pPr>
              <w:keepNext w:val="0"/>
              <w:widowControl w:val="0"/>
              <w:spacing w:before="20" w:after="20"/>
              <w:rPr>
                <w:rFonts w:ascii="Arial" w:hAnsi="Arial" w:cs="Arial"/>
                <w:b/>
                <w:bCs/>
                <w:sz w:val="20"/>
                <w:szCs w:val="20"/>
              </w:rPr>
            </w:pPr>
            <w:r>
              <w:rPr>
                <w:rFonts w:ascii="Arial" w:hAnsi="Arial" w:cs="Arial"/>
                <w:b/>
                <w:bCs/>
                <w:sz w:val="20"/>
                <w:szCs w:val="20"/>
              </w:rPr>
              <w:t>NPV ($000)</w:t>
            </w:r>
          </w:p>
        </w:tc>
        <w:tc>
          <w:tcPr>
            <w:tcW w:w="0" w:type="auto"/>
            <w:tcBorders>
              <w:left w:val="nil"/>
            </w:tcBorders>
            <w:shd w:val="clear" w:color="auto" w:fill="CCCCCC"/>
            <w:tcMar>
              <w:left w:w="57" w:type="dxa"/>
              <w:right w:w="57" w:type="dxa"/>
            </w:tcMar>
          </w:tcPr>
          <w:p w:rsidR="00000000" w:rsidRDefault="00D35856">
            <w:pPr>
              <w:keepNext w:val="0"/>
              <w:widowControl w:val="0"/>
              <w:spacing w:before="20" w:after="20"/>
              <w:rPr>
                <w:rFonts w:ascii="Arial" w:hAnsi="Arial" w:cs="Arial"/>
                <w:b/>
                <w:bCs/>
                <w:sz w:val="18"/>
                <w:szCs w:val="18"/>
              </w:rPr>
            </w:pPr>
          </w:p>
        </w:tc>
        <w:tc>
          <w:tcPr>
            <w:tcW w:w="0" w:type="auto"/>
            <w:shd w:val="clear" w:color="auto" w:fill="CCCCCC"/>
            <w:tcMar>
              <w:left w:w="57" w:type="dxa"/>
              <w:right w:w="57" w:type="dxa"/>
            </w:tcMar>
          </w:tcPr>
          <w:p w:rsidR="00000000" w:rsidRDefault="00D35856">
            <w:pPr>
              <w:keepNext w:val="0"/>
              <w:widowControl w:val="0"/>
              <w:spacing w:before="20" w:after="20"/>
              <w:jc w:val="center"/>
              <w:rPr>
                <w:rFonts w:ascii="Arial" w:hAnsi="Arial" w:cs="Arial"/>
                <w:b/>
                <w:bCs/>
                <w:sz w:val="18"/>
                <w:szCs w:val="20"/>
              </w:rPr>
            </w:pPr>
            <w:r>
              <w:rPr>
                <w:rFonts w:ascii="Arial" w:hAnsi="Arial" w:cs="Arial"/>
                <w:b/>
                <w:bCs/>
                <w:sz w:val="18"/>
                <w:szCs w:val="20"/>
              </w:rPr>
              <w:t>CWM</w:t>
            </w:r>
          </w:p>
        </w:tc>
        <w:tc>
          <w:tcPr>
            <w:tcW w:w="0" w:type="auto"/>
            <w:shd w:val="clear" w:color="auto" w:fill="CCCCCC"/>
            <w:tcMar>
              <w:left w:w="57" w:type="dxa"/>
              <w:right w:w="57" w:type="dxa"/>
            </w:tcMar>
          </w:tcPr>
          <w:p w:rsidR="00000000" w:rsidRDefault="00D35856">
            <w:pPr>
              <w:keepNext w:val="0"/>
              <w:widowControl w:val="0"/>
              <w:spacing w:before="20" w:after="20"/>
              <w:jc w:val="center"/>
              <w:rPr>
                <w:rFonts w:ascii="Arial" w:hAnsi="Arial" w:cs="Arial"/>
                <w:b/>
                <w:bCs/>
                <w:sz w:val="18"/>
                <w:szCs w:val="20"/>
              </w:rPr>
            </w:pPr>
            <w:r>
              <w:rPr>
                <w:rFonts w:ascii="Arial" w:hAnsi="Arial" w:cs="Arial"/>
                <w:b/>
                <w:bCs/>
                <w:sz w:val="18"/>
                <w:szCs w:val="20"/>
              </w:rPr>
              <w:t>DWM</w:t>
            </w:r>
          </w:p>
        </w:tc>
        <w:tc>
          <w:tcPr>
            <w:tcW w:w="0" w:type="auto"/>
            <w:shd w:val="clear" w:color="auto" w:fill="CCCCCC"/>
            <w:tcMar>
              <w:left w:w="57" w:type="dxa"/>
              <w:right w:w="57" w:type="dxa"/>
            </w:tcMar>
          </w:tcPr>
          <w:p w:rsidR="00000000" w:rsidRDefault="00D35856">
            <w:pPr>
              <w:keepNext w:val="0"/>
              <w:widowControl w:val="0"/>
              <w:spacing w:before="20" w:after="20"/>
              <w:jc w:val="center"/>
              <w:rPr>
                <w:rFonts w:ascii="Arial" w:hAnsi="Arial" w:cs="Arial"/>
                <w:b/>
                <w:bCs/>
                <w:sz w:val="18"/>
                <w:szCs w:val="20"/>
              </w:rPr>
            </w:pPr>
            <w:r>
              <w:rPr>
                <w:rFonts w:ascii="Arial" w:hAnsi="Arial" w:cs="Arial"/>
                <w:b/>
                <w:bCs/>
                <w:sz w:val="18"/>
                <w:szCs w:val="20"/>
              </w:rPr>
              <w:t>LE</w:t>
            </w:r>
          </w:p>
        </w:tc>
        <w:tc>
          <w:tcPr>
            <w:tcW w:w="0" w:type="auto"/>
            <w:shd w:val="clear" w:color="auto" w:fill="CCCCCC"/>
            <w:tcMar>
              <w:left w:w="57" w:type="dxa"/>
              <w:right w:w="57" w:type="dxa"/>
            </w:tcMar>
          </w:tcPr>
          <w:p w:rsidR="00000000" w:rsidRDefault="00D35856">
            <w:pPr>
              <w:keepNext w:val="0"/>
              <w:widowControl w:val="0"/>
              <w:spacing w:before="20" w:after="20"/>
              <w:jc w:val="center"/>
              <w:rPr>
                <w:rFonts w:ascii="Arial" w:hAnsi="Arial" w:cs="Arial"/>
                <w:b/>
                <w:bCs/>
                <w:sz w:val="18"/>
                <w:szCs w:val="20"/>
              </w:rPr>
            </w:pPr>
            <w:r>
              <w:rPr>
                <w:rFonts w:ascii="Arial" w:hAnsi="Arial" w:cs="Arial"/>
                <w:b/>
                <w:bCs/>
                <w:sz w:val="18"/>
                <w:szCs w:val="20"/>
              </w:rPr>
              <w:t>S</w:t>
            </w:r>
          </w:p>
        </w:tc>
        <w:tc>
          <w:tcPr>
            <w:tcW w:w="0" w:type="auto"/>
            <w:shd w:val="clear" w:color="auto" w:fill="CCCCCC"/>
            <w:tcMar>
              <w:left w:w="57" w:type="dxa"/>
              <w:right w:w="57" w:type="dxa"/>
            </w:tcMar>
          </w:tcPr>
          <w:p w:rsidR="00000000" w:rsidRDefault="00D35856">
            <w:pPr>
              <w:keepNext w:val="0"/>
              <w:widowControl w:val="0"/>
              <w:spacing w:before="20" w:after="20"/>
              <w:jc w:val="center"/>
              <w:rPr>
                <w:rFonts w:ascii="Arial" w:hAnsi="Arial" w:cs="Arial"/>
                <w:b/>
                <w:bCs/>
                <w:sz w:val="18"/>
                <w:szCs w:val="20"/>
              </w:rPr>
            </w:pPr>
            <w:r>
              <w:rPr>
                <w:rFonts w:ascii="Arial" w:hAnsi="Arial" w:cs="Arial"/>
                <w:b/>
                <w:bCs/>
                <w:sz w:val="18"/>
                <w:szCs w:val="20"/>
              </w:rPr>
              <w:t>TE</w:t>
            </w:r>
          </w:p>
        </w:tc>
        <w:tc>
          <w:tcPr>
            <w:tcW w:w="0" w:type="auto"/>
            <w:shd w:val="clear" w:color="auto" w:fill="CCCCCC"/>
          </w:tcPr>
          <w:p w:rsidR="00000000" w:rsidRDefault="00D35856">
            <w:pPr>
              <w:keepNext w:val="0"/>
              <w:widowControl w:val="0"/>
              <w:spacing w:before="20" w:after="20"/>
              <w:jc w:val="center"/>
              <w:rPr>
                <w:rFonts w:ascii="Arial" w:hAnsi="Arial" w:cs="Arial"/>
                <w:b/>
                <w:bCs/>
                <w:sz w:val="18"/>
                <w:szCs w:val="20"/>
              </w:rPr>
            </w:pPr>
            <w:r>
              <w:rPr>
                <w:rFonts w:ascii="Arial" w:hAnsi="Arial" w:cs="Arial"/>
                <w:b/>
                <w:bCs/>
                <w:sz w:val="18"/>
                <w:szCs w:val="20"/>
              </w:rPr>
              <w:t>UE</w:t>
            </w:r>
          </w:p>
        </w:tc>
        <w:tc>
          <w:tcPr>
            <w:tcW w:w="767" w:type="dxa"/>
            <w:shd w:val="clear" w:color="auto" w:fill="CCCCCC"/>
          </w:tcPr>
          <w:p w:rsidR="00000000" w:rsidRDefault="00D35856">
            <w:pPr>
              <w:keepNext w:val="0"/>
              <w:widowControl w:val="0"/>
              <w:spacing w:before="20" w:after="20"/>
              <w:jc w:val="center"/>
              <w:rPr>
                <w:rFonts w:ascii="Arial" w:hAnsi="Arial" w:cs="Arial"/>
                <w:b/>
                <w:bCs/>
                <w:sz w:val="18"/>
                <w:szCs w:val="20"/>
              </w:rPr>
            </w:pPr>
            <w:r>
              <w:rPr>
                <w:rFonts w:ascii="Arial" w:hAnsi="Arial" w:cs="Arial"/>
                <w:b/>
                <w:bCs/>
                <w:sz w:val="18"/>
                <w:szCs w:val="20"/>
              </w:rPr>
              <w:t>Total</w:t>
            </w:r>
          </w:p>
        </w:tc>
      </w:tr>
      <w:tr w:rsidR="00000000">
        <w:tc>
          <w:tcPr>
            <w:tcW w:w="0" w:type="auto"/>
            <w:tcBorders>
              <w:bottom w:val="nil"/>
              <w:right w:val="nil"/>
            </w:tcBorders>
          </w:tcPr>
          <w:p w:rsidR="00000000" w:rsidRDefault="00D35856">
            <w:pPr>
              <w:keepNext w:val="0"/>
              <w:widowControl w:val="0"/>
              <w:spacing w:before="20" w:after="20"/>
              <w:rPr>
                <w:rFonts w:ascii="Arial" w:hAnsi="Arial" w:cs="Arial"/>
                <w:szCs w:val="19"/>
              </w:rPr>
            </w:pPr>
          </w:p>
        </w:tc>
        <w:tc>
          <w:tcPr>
            <w:tcW w:w="0" w:type="auto"/>
            <w:tcBorders>
              <w:left w:val="nil"/>
              <w:bottom w:val="nil"/>
            </w:tcBorders>
          </w:tcPr>
          <w:p w:rsidR="00000000" w:rsidRDefault="00D35856">
            <w:pPr>
              <w:keepNext w:val="0"/>
              <w:widowControl w:val="0"/>
              <w:spacing w:before="20" w:after="20"/>
              <w:jc w:val="right"/>
              <w:rPr>
                <w:rFonts w:ascii="Arial" w:hAnsi="Arial" w:cs="Arial"/>
                <w:bCs/>
                <w:sz w:val="18"/>
                <w:szCs w:val="18"/>
              </w:rPr>
            </w:pPr>
            <w:r>
              <w:rPr>
                <w:rFonts w:ascii="Arial" w:hAnsi="Arial" w:cs="Arial"/>
                <w:bCs/>
                <w:sz w:val="18"/>
                <w:szCs w:val="18"/>
              </w:rPr>
              <w:t>1.6%</w:t>
            </w:r>
          </w:p>
        </w:tc>
        <w:tc>
          <w:tcPr>
            <w:tcW w:w="0" w:type="auto"/>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$1184</w:t>
            </w:r>
          </w:p>
        </w:tc>
        <w:tc>
          <w:tcPr>
            <w:tcW w:w="0" w:type="auto"/>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$499</w:t>
            </w:r>
          </w:p>
        </w:tc>
        <w:tc>
          <w:tcPr>
            <w:tcW w:w="0" w:type="auto"/>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$2096</w:t>
            </w:r>
          </w:p>
        </w:tc>
        <w:tc>
          <w:tcPr>
            <w:tcW w:w="0" w:type="auto"/>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$2061</w:t>
            </w:r>
          </w:p>
        </w:tc>
        <w:tc>
          <w:tcPr>
            <w:tcW w:w="0" w:type="auto"/>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$3092</w:t>
            </w:r>
          </w:p>
        </w:tc>
        <w:tc>
          <w:tcPr>
            <w:tcW w:w="0" w:type="auto"/>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$186</w:t>
            </w:r>
          </w:p>
        </w:tc>
        <w:tc>
          <w:tcPr>
            <w:tcW w:w="767" w:type="dxa"/>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$9119</w:t>
            </w:r>
          </w:p>
        </w:tc>
      </w:tr>
      <w:tr w:rsidR="00000000">
        <w:tc>
          <w:tcPr>
            <w:tcW w:w="0" w:type="auto"/>
            <w:tcBorders>
              <w:top w:val="nil"/>
              <w:bottom w:val="nil"/>
              <w:right w:val="nil"/>
            </w:tcBorders>
          </w:tcPr>
          <w:p w:rsidR="00000000" w:rsidRDefault="00D35856">
            <w:pPr>
              <w:keepNext w:val="0"/>
              <w:widowControl w:val="0"/>
              <w:spacing w:before="20" w:after="20"/>
              <w:rPr>
                <w:rFonts w:ascii="Arial" w:hAnsi="Arial" w:cs="Arial"/>
                <w:szCs w:val="19"/>
              </w:rPr>
            </w:pPr>
          </w:p>
        </w:tc>
        <w:tc>
          <w:tcPr>
            <w:tcW w:w="0" w:type="auto"/>
            <w:tcBorders>
              <w:top w:val="nil"/>
              <w:left w:val="nil"/>
              <w:bottom w:val="nil"/>
            </w:tcBorders>
          </w:tcPr>
          <w:p w:rsidR="00000000" w:rsidRDefault="00D35856">
            <w:pPr>
              <w:keepNext w:val="0"/>
              <w:widowControl w:val="0"/>
              <w:spacing w:before="20" w:after="20"/>
              <w:jc w:val="right"/>
              <w:rPr>
                <w:rFonts w:ascii="Arial" w:hAnsi="Arial" w:cs="Arial"/>
                <w:bCs/>
                <w:sz w:val="18"/>
                <w:szCs w:val="18"/>
              </w:rPr>
            </w:pPr>
            <w:r>
              <w:rPr>
                <w:rFonts w:ascii="Arial" w:hAnsi="Arial" w:cs="Arial"/>
                <w:bCs/>
                <w:sz w:val="18"/>
                <w:szCs w:val="18"/>
              </w:rPr>
              <w:t>3.5%</w:t>
            </w:r>
          </w:p>
        </w:tc>
        <w:tc>
          <w:tcPr>
            <w:tcW w:w="0" w:type="auto"/>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$1045</w:t>
            </w:r>
          </w:p>
        </w:tc>
        <w:tc>
          <w:tcPr>
            <w:tcW w:w="0" w:type="auto"/>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$437</w:t>
            </w:r>
          </w:p>
        </w:tc>
        <w:tc>
          <w:tcPr>
            <w:tcW w:w="0" w:type="auto"/>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$1847</w:t>
            </w:r>
          </w:p>
        </w:tc>
        <w:tc>
          <w:tcPr>
            <w:tcW w:w="0" w:type="auto"/>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$1816</w:t>
            </w:r>
          </w:p>
        </w:tc>
        <w:tc>
          <w:tcPr>
            <w:tcW w:w="0" w:type="auto"/>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$2725</w:t>
            </w:r>
          </w:p>
        </w:tc>
        <w:tc>
          <w:tcPr>
            <w:tcW w:w="0" w:type="auto"/>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$164</w:t>
            </w:r>
          </w:p>
        </w:tc>
        <w:tc>
          <w:tcPr>
            <w:tcW w:w="767" w:type="dxa"/>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$8033</w:t>
            </w:r>
          </w:p>
        </w:tc>
      </w:tr>
      <w:tr w:rsidR="00000000">
        <w:tc>
          <w:tcPr>
            <w:tcW w:w="0" w:type="auto"/>
            <w:vMerge w:val="restart"/>
            <w:tcBorders>
              <w:top w:val="nil"/>
              <w:bottom w:val="nil"/>
              <w:right w:val="nil"/>
            </w:tcBorders>
          </w:tcPr>
          <w:p w:rsidR="00000000" w:rsidRDefault="00D35856">
            <w:pPr>
              <w:keepNext w:val="0"/>
              <w:widowControl w:val="0"/>
              <w:spacing w:before="20" w:after="20"/>
              <w:rPr>
                <w:rFonts w:ascii="Arial" w:hAnsi="Arial" w:cs="Arial"/>
                <w:szCs w:val="19"/>
              </w:rPr>
            </w:pPr>
            <w:r>
              <w:rPr>
                <w:rFonts w:ascii="Arial" w:hAnsi="Arial" w:cs="Arial"/>
                <w:szCs w:val="19"/>
              </w:rPr>
              <w:t>Total (based on estimated sales numbers)</w:t>
            </w:r>
          </w:p>
        </w:tc>
        <w:tc>
          <w:tcPr>
            <w:tcW w:w="0" w:type="auto"/>
            <w:tcBorders>
              <w:top w:val="nil"/>
              <w:left w:val="nil"/>
              <w:bottom w:val="nil"/>
            </w:tcBorders>
          </w:tcPr>
          <w:p w:rsidR="00000000" w:rsidRDefault="00D35856">
            <w:pPr>
              <w:keepNext w:val="0"/>
              <w:widowControl w:val="0"/>
              <w:spacing w:before="20" w:after="20"/>
              <w:jc w:val="right"/>
              <w:rPr>
                <w:rFonts w:ascii="Arial" w:hAnsi="Arial" w:cs="Arial"/>
                <w:bCs/>
                <w:sz w:val="18"/>
                <w:szCs w:val="18"/>
              </w:rPr>
            </w:pPr>
            <w:r>
              <w:rPr>
                <w:rFonts w:ascii="Arial" w:hAnsi="Arial" w:cs="Arial"/>
                <w:bCs/>
                <w:sz w:val="18"/>
                <w:szCs w:val="18"/>
              </w:rPr>
              <w:t>4%</w:t>
            </w:r>
          </w:p>
        </w:tc>
        <w:tc>
          <w:tcPr>
            <w:tcW w:w="0" w:type="auto"/>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$1013</w:t>
            </w:r>
          </w:p>
        </w:tc>
        <w:tc>
          <w:tcPr>
            <w:tcW w:w="0" w:type="auto"/>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$422</w:t>
            </w:r>
          </w:p>
        </w:tc>
        <w:tc>
          <w:tcPr>
            <w:tcW w:w="0" w:type="auto"/>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$2258</w:t>
            </w:r>
          </w:p>
        </w:tc>
        <w:tc>
          <w:tcPr>
            <w:tcW w:w="0" w:type="auto"/>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$1760</w:t>
            </w:r>
          </w:p>
        </w:tc>
        <w:tc>
          <w:tcPr>
            <w:tcW w:w="0" w:type="auto"/>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$2639</w:t>
            </w:r>
          </w:p>
        </w:tc>
        <w:tc>
          <w:tcPr>
            <w:tcW w:w="0" w:type="auto"/>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$159</w:t>
            </w:r>
          </w:p>
        </w:tc>
        <w:tc>
          <w:tcPr>
            <w:tcW w:w="767" w:type="dxa"/>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$8250</w:t>
            </w:r>
          </w:p>
        </w:tc>
      </w:tr>
      <w:tr w:rsidR="00000000">
        <w:tc>
          <w:tcPr>
            <w:tcW w:w="0" w:type="auto"/>
            <w:vMerge/>
            <w:tcBorders>
              <w:top w:val="nil"/>
              <w:bottom w:val="nil"/>
              <w:right w:val="nil"/>
            </w:tcBorders>
          </w:tcPr>
          <w:p w:rsidR="00000000" w:rsidRDefault="00D35856">
            <w:pPr>
              <w:keepNext w:val="0"/>
              <w:widowControl w:val="0"/>
              <w:spacing w:before="20" w:after="20"/>
              <w:rPr>
                <w:rFonts w:ascii="Arial" w:hAnsi="Arial" w:cs="Arial"/>
                <w:szCs w:val="19"/>
              </w:rPr>
            </w:pPr>
          </w:p>
        </w:tc>
        <w:tc>
          <w:tcPr>
            <w:tcW w:w="0" w:type="auto"/>
            <w:tcBorders>
              <w:top w:val="nil"/>
              <w:left w:val="nil"/>
              <w:bottom w:val="nil"/>
            </w:tcBorders>
          </w:tcPr>
          <w:p w:rsidR="00000000" w:rsidRDefault="00D35856">
            <w:pPr>
              <w:keepNext w:val="0"/>
              <w:widowControl w:val="0"/>
              <w:spacing w:before="20" w:after="20"/>
              <w:jc w:val="right"/>
              <w:rPr>
                <w:rFonts w:ascii="Arial" w:hAnsi="Arial" w:cs="Arial"/>
                <w:bCs/>
                <w:sz w:val="18"/>
                <w:szCs w:val="18"/>
              </w:rPr>
            </w:pPr>
            <w:r>
              <w:rPr>
                <w:rFonts w:ascii="Arial" w:hAnsi="Arial" w:cs="Arial"/>
                <w:bCs/>
                <w:sz w:val="18"/>
                <w:szCs w:val="18"/>
              </w:rPr>
              <w:t>7%</w:t>
            </w:r>
          </w:p>
        </w:tc>
        <w:tc>
          <w:tcPr>
            <w:tcW w:w="0" w:type="auto"/>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$848</w:t>
            </w:r>
          </w:p>
        </w:tc>
        <w:tc>
          <w:tcPr>
            <w:tcW w:w="0" w:type="auto"/>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$349</w:t>
            </w:r>
          </w:p>
        </w:tc>
        <w:tc>
          <w:tcPr>
            <w:tcW w:w="0" w:type="auto"/>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$2258</w:t>
            </w:r>
          </w:p>
        </w:tc>
        <w:tc>
          <w:tcPr>
            <w:tcW w:w="0" w:type="auto"/>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$1471</w:t>
            </w:r>
          </w:p>
        </w:tc>
        <w:tc>
          <w:tcPr>
            <w:tcW w:w="0" w:type="auto"/>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$2206</w:t>
            </w:r>
          </w:p>
        </w:tc>
        <w:tc>
          <w:tcPr>
            <w:tcW w:w="0" w:type="auto"/>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$133</w:t>
            </w:r>
          </w:p>
        </w:tc>
        <w:tc>
          <w:tcPr>
            <w:tcW w:w="767" w:type="dxa"/>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$7265</w:t>
            </w:r>
          </w:p>
        </w:tc>
      </w:tr>
      <w:tr w:rsidR="00000000">
        <w:tc>
          <w:tcPr>
            <w:tcW w:w="0" w:type="auto"/>
            <w:vMerge/>
            <w:tcBorders>
              <w:top w:val="nil"/>
              <w:right w:val="nil"/>
            </w:tcBorders>
          </w:tcPr>
          <w:p w:rsidR="00000000" w:rsidRDefault="00D35856">
            <w:pPr>
              <w:keepNext w:val="0"/>
              <w:widowControl w:val="0"/>
              <w:spacing w:before="20" w:after="20"/>
              <w:rPr>
                <w:rFonts w:ascii="Arial" w:hAnsi="Arial" w:cs="Arial"/>
                <w:szCs w:val="19"/>
              </w:rPr>
            </w:pPr>
          </w:p>
        </w:tc>
        <w:tc>
          <w:tcPr>
            <w:tcW w:w="0" w:type="auto"/>
            <w:tcBorders>
              <w:top w:val="nil"/>
              <w:left w:val="nil"/>
            </w:tcBorders>
          </w:tcPr>
          <w:p w:rsidR="00000000" w:rsidRDefault="00D35856">
            <w:pPr>
              <w:keepNext w:val="0"/>
              <w:widowControl w:val="0"/>
              <w:spacing w:before="20" w:after="20"/>
              <w:jc w:val="right"/>
              <w:rPr>
                <w:rFonts w:ascii="Arial" w:hAnsi="Arial" w:cs="Arial"/>
                <w:bCs/>
                <w:sz w:val="18"/>
                <w:szCs w:val="18"/>
              </w:rPr>
            </w:pPr>
            <w:r>
              <w:rPr>
                <w:rFonts w:ascii="Arial" w:hAnsi="Arial" w:cs="Arial"/>
                <w:bCs/>
                <w:sz w:val="18"/>
                <w:szCs w:val="18"/>
              </w:rPr>
              <w:t>10%</w:t>
            </w:r>
          </w:p>
        </w:tc>
        <w:tc>
          <w:tcPr>
            <w:tcW w:w="0" w:type="auto"/>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$725</w:t>
            </w:r>
          </w:p>
        </w:tc>
        <w:tc>
          <w:tcPr>
            <w:tcW w:w="0" w:type="auto"/>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$295</w:t>
            </w:r>
          </w:p>
        </w:tc>
        <w:tc>
          <w:tcPr>
            <w:tcW w:w="0" w:type="auto"/>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$2258</w:t>
            </w:r>
          </w:p>
        </w:tc>
        <w:tc>
          <w:tcPr>
            <w:tcW w:w="0" w:type="auto"/>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$1253</w:t>
            </w:r>
          </w:p>
        </w:tc>
        <w:tc>
          <w:tcPr>
            <w:tcW w:w="0" w:type="auto"/>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$1879</w:t>
            </w:r>
          </w:p>
        </w:tc>
        <w:tc>
          <w:tcPr>
            <w:tcW w:w="0" w:type="auto"/>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$113</w:t>
            </w:r>
          </w:p>
        </w:tc>
        <w:tc>
          <w:tcPr>
            <w:tcW w:w="767" w:type="dxa"/>
          </w:tcPr>
          <w:p w:rsidR="00000000" w:rsidRDefault="00D35856">
            <w:pPr>
              <w:keepNext w:val="0"/>
              <w:widowControl w:val="0"/>
              <w:spacing w:before="20" w:after="20"/>
              <w:jc w:val="right"/>
              <w:rPr>
                <w:rFonts w:ascii="Arial" w:hAnsi="Arial" w:cs="Arial"/>
                <w:sz w:val="18"/>
                <w:szCs w:val="18"/>
              </w:rPr>
            </w:pPr>
            <w:r>
              <w:rPr>
                <w:rFonts w:ascii="Arial" w:hAnsi="Arial" w:cs="Arial"/>
                <w:sz w:val="18"/>
                <w:szCs w:val="18"/>
              </w:rPr>
              <w:t>$6522</w:t>
            </w:r>
          </w:p>
        </w:tc>
      </w:tr>
    </w:tbl>
    <w:p w:rsidR="00000000" w:rsidRDefault="00D35856">
      <w:pPr>
        <w:keepNext w:val="0"/>
        <w:widowControl w:val="0"/>
        <w:spacing w:after="0"/>
        <w:rPr>
          <w:sz w:val="18"/>
          <w:szCs w:val="18"/>
        </w:rPr>
      </w:pPr>
      <w:r>
        <w:rPr>
          <w:sz w:val="18"/>
          <w:szCs w:val="18"/>
        </w:rPr>
        <w:t>See list of Abbreviations on page ix for acronyms.</w:t>
      </w:r>
    </w:p>
    <w:p w:rsidR="00000000" w:rsidRDefault="00D35856">
      <w:pPr>
        <w:keepNext w:val="0"/>
        <w:widowControl w:val="0"/>
        <w:spacing w:after="0"/>
        <w:rPr>
          <w:sz w:val="18"/>
          <w:szCs w:val="18"/>
        </w:rPr>
      </w:pPr>
    </w:p>
    <w:tbl>
      <w:tblPr>
        <w:tblStyle w:val="TableGrid"/>
        <w:tblW w:w="0" w:type="auto"/>
        <w:tblLook w:val="01E0"/>
      </w:tblPr>
      <w:tblGrid>
        <w:gridCol w:w="8714"/>
      </w:tblGrid>
      <w:tr w:rsidR="00000000">
        <w:tc>
          <w:tcPr>
            <w:tcW w:w="8714" w:type="dxa"/>
          </w:tcPr>
          <w:p w:rsidR="00000000" w:rsidRDefault="00D35856">
            <w:pPr>
              <w:keepNext w:val="0"/>
              <w:widowControl w:val="0"/>
              <w:rPr>
                <w:rFonts w:ascii="Arial" w:hAnsi="Arial" w:cs="Arial"/>
                <w:b/>
                <w:szCs w:val="19"/>
              </w:rPr>
            </w:pPr>
            <w:r>
              <w:rPr>
                <w:rFonts w:ascii="Arial" w:hAnsi="Arial" w:cs="Arial"/>
                <w:b/>
                <w:szCs w:val="19"/>
              </w:rPr>
              <w:t>Parameter sensitivity: labelling costs per unit</w:t>
            </w:r>
          </w:p>
          <w:p w:rsidR="00000000" w:rsidRDefault="00D35856">
            <w:pPr>
              <w:keepNext w:val="0"/>
              <w:rPr>
                <w:rFonts w:ascii="Arial" w:hAnsi="Arial" w:cs="Arial"/>
                <w:szCs w:val="19"/>
              </w:rPr>
            </w:pPr>
            <w:r>
              <w:rPr>
                <w:rFonts w:ascii="Arial" w:hAnsi="Arial" w:cs="Arial"/>
                <w:szCs w:val="19"/>
              </w:rPr>
              <w:t>Estimations of the total labelling cost to suppliers and manufacturers depends on the labelling cost per unit. Some industry stakeholders reported that the 10c to 20c per label estimated in the RIS were high estimates, whereas others reported that the esti</w:t>
            </w:r>
            <w:r>
              <w:rPr>
                <w:rFonts w:ascii="Arial" w:hAnsi="Arial" w:cs="Arial"/>
                <w:szCs w:val="19"/>
              </w:rPr>
              <w:t>mates are low, and do not take into account the additional labour costs of labelling. Some stakeholders reported labelling costs, including labour, closer to 50c or $1 per label. If each model sold cost 50c to label, the estimated total NPV labelling costs</w:t>
            </w:r>
            <w:r>
              <w:rPr>
                <w:rFonts w:ascii="Arial" w:hAnsi="Arial" w:cs="Arial"/>
                <w:szCs w:val="19"/>
              </w:rPr>
              <w:t xml:space="preserve"> (2005—2006 to 2006—2007) at 2007 dollars would be $19m (at 10% discount rate) to $27m (at 1.6% discount rate).</w:t>
            </w:r>
          </w:p>
        </w:tc>
      </w:tr>
    </w:tbl>
    <w:p w:rsidR="00000000" w:rsidRDefault="00D35856">
      <w:pPr>
        <w:pStyle w:val="Heading2"/>
        <w:numPr>
          <w:ilvl w:val="1"/>
          <w:numId w:val="3"/>
        </w:numPr>
        <w:tabs>
          <w:tab w:val="clear" w:pos="1296"/>
        </w:tabs>
        <w:ind w:left="567" w:hanging="567"/>
        <w:rPr>
          <w:color w:val="auto"/>
        </w:rPr>
      </w:pPr>
      <w:bookmarkStart w:id="176" w:name="_Toc199933755"/>
      <w:r>
        <w:rPr>
          <w:color w:val="auto"/>
        </w:rPr>
        <w:lastRenderedPageBreak/>
        <w:t>Retailers’ costs</w:t>
      </w:r>
      <w:bookmarkEnd w:id="176"/>
    </w:p>
    <w:p w:rsidR="00000000" w:rsidRDefault="00D35856">
      <w:pPr>
        <w:keepNext w:val="0"/>
        <w:widowControl w:val="0"/>
      </w:pPr>
      <w:r>
        <w:t>Limited inform</w:t>
      </w:r>
      <w:r>
        <w:t>ation was available from retailers for this study, and therefore costs have not been quantified. However, the retailers contacted for this study indicated that due to an unexpectedly lengthy registrations and approvals process, when unlabelled stock was so</w:t>
      </w:r>
      <w:r>
        <w:t xml:space="preserve">ld off by the end of 2007, there were insufficient new products and models eligible to be sold, leading to a gap in product availability. They also noted reduced margins during the period prior to the introduction of </w:t>
      </w:r>
      <w:smartTag w:uri="urn:schemas-microsoft-com:office:smarttags" w:element="City">
        <w:r>
          <w:t>WELS</w:t>
        </w:r>
      </w:smartTag>
      <w:r>
        <w:t xml:space="preserve"> due to selling unlabelled </w:t>
      </w:r>
      <w:r>
        <w:t>stock at lower prices.</w:t>
      </w:r>
    </w:p>
    <w:p w:rsidR="00000000" w:rsidRDefault="00D35856">
      <w:pPr>
        <w:pStyle w:val="Heading2"/>
        <w:numPr>
          <w:ilvl w:val="1"/>
          <w:numId w:val="3"/>
        </w:numPr>
        <w:tabs>
          <w:tab w:val="clear" w:pos="1296"/>
        </w:tabs>
        <w:ind w:left="567" w:hanging="567"/>
        <w:rPr>
          <w:color w:val="auto"/>
        </w:rPr>
      </w:pPr>
      <w:bookmarkStart w:id="177" w:name="_Toc187737293"/>
      <w:bookmarkStart w:id="178" w:name="_Toc199933756"/>
      <w:r>
        <w:rPr>
          <w:color w:val="auto"/>
        </w:rPr>
        <w:t>Additional purchase costs</w:t>
      </w:r>
      <w:bookmarkEnd w:id="177"/>
      <w:bookmarkEnd w:id="178"/>
    </w:p>
    <w:p w:rsidR="00000000" w:rsidRDefault="00D35856">
      <w:pPr>
        <w:keepNext w:val="0"/>
        <w:widowControl w:val="0"/>
      </w:pPr>
      <w:r>
        <w:t xml:space="preserve">There are two ways in which </w:t>
      </w:r>
      <w:smartTag w:uri="urn:schemas-microsoft-com:office:smarttags" w:element="City">
        <w:r>
          <w:t>WELS</w:t>
        </w:r>
      </w:smartTag>
      <w:r>
        <w:t xml:space="preserve"> could increase purchase costs for customers:</w:t>
      </w:r>
    </w:p>
    <w:p w:rsidR="00000000" w:rsidRDefault="00D35856">
      <w:pPr>
        <w:keepNext w:val="0"/>
        <w:widowControl w:val="0"/>
        <w:numPr>
          <w:ilvl w:val="0"/>
          <w:numId w:val="6"/>
        </w:numPr>
      </w:pPr>
      <w:r>
        <w:t>encouraging a higher rate of turnover of stock, resulting in gr</w:t>
      </w:r>
      <w:r>
        <w:t>eater sales numbers.</w:t>
      </w:r>
    </w:p>
    <w:p w:rsidR="00000000" w:rsidRDefault="00D35856">
      <w:pPr>
        <w:keepNext w:val="0"/>
        <w:widowControl w:val="0"/>
        <w:numPr>
          <w:ilvl w:val="0"/>
          <w:numId w:val="6"/>
        </w:numPr>
      </w:pPr>
      <w:r>
        <w:t xml:space="preserve">if customers choose, due to </w:t>
      </w:r>
      <w:smartTag w:uri="urn:schemas-microsoft-com:office:smarttags" w:element="City">
        <w:r>
          <w:t>WELS</w:t>
        </w:r>
      </w:smartTag>
      <w:r>
        <w:t xml:space="preserve"> (and interrelated programs) to purchase higher star rating products, and these products are relatively more expensive, their purchase cost would be higher.</w:t>
      </w:r>
    </w:p>
    <w:p w:rsidR="00000000" w:rsidRDefault="00D35856">
      <w:pPr>
        <w:pStyle w:val="Heading3"/>
        <w:keepNext w:val="0"/>
        <w:numPr>
          <w:ilvl w:val="2"/>
          <w:numId w:val="3"/>
        </w:numPr>
        <w:tabs>
          <w:tab w:val="clear" w:pos="1440"/>
        </w:tabs>
        <w:ind w:left="851" w:hanging="851"/>
        <w:rPr>
          <w:color w:val="auto"/>
        </w:rPr>
      </w:pPr>
      <w:bookmarkStart w:id="179" w:name="_Toc199933757"/>
      <w:r>
        <w:rPr>
          <w:color w:val="auto"/>
        </w:rPr>
        <w:t>Sales numbers</w:t>
      </w:r>
      <w:bookmarkEnd w:id="179"/>
    </w:p>
    <w:p w:rsidR="00000000" w:rsidRDefault="00D35856">
      <w:pPr>
        <w:keepNext w:val="0"/>
        <w:widowControl w:val="0"/>
      </w:pPr>
      <w:r>
        <w:t xml:space="preserve">As discussed in chapter 3, it is possible that providing information to potential customers about the water efficiency of products may encourage them to replace their existing products sooner than what would otherwise be the case. However, there </w:t>
      </w:r>
      <w:r>
        <w:t xml:space="preserve">are a number of reasons why </w:t>
      </w:r>
      <w:smartTag w:uri="urn:schemas-microsoft-com:office:smarttags" w:element="City">
        <w:r>
          <w:t>WELS</w:t>
        </w:r>
      </w:smartTag>
      <w:r>
        <w:t xml:space="preserve"> may have short-term but not substantial long-term impacts on overall sales numbers: </w:t>
      </w:r>
    </w:p>
    <w:p w:rsidR="00000000" w:rsidRDefault="00D35856">
      <w:pPr>
        <w:keepNext w:val="0"/>
        <w:widowControl w:val="0"/>
        <w:numPr>
          <w:ilvl w:val="0"/>
          <w:numId w:val="6"/>
        </w:numPr>
      </w:pPr>
      <w:r>
        <w:t>There are many product characteristics which influence customer decision in addition to, and possibly priority over, water effic</w:t>
      </w:r>
      <w:r>
        <w:t>iency. To date there are no studies available which assess the relative influence of water efficiency in customer purchase decisions.</w:t>
      </w:r>
    </w:p>
    <w:p w:rsidR="00000000" w:rsidRDefault="00D35856">
      <w:pPr>
        <w:keepNext w:val="0"/>
        <w:widowControl w:val="0"/>
        <w:numPr>
          <w:ilvl w:val="0"/>
          <w:numId w:val="6"/>
        </w:numPr>
      </w:pPr>
      <w:r>
        <w:t>As discussed in chapter 3, confounding factors such as the drought and rebates may have had a greater influence on purch</w:t>
      </w:r>
      <w:r>
        <w:t xml:space="preserve">ase decisions than </w:t>
      </w:r>
      <w:smartTag w:uri="urn:schemas-microsoft-com:office:smarttags" w:element="City">
        <w:r>
          <w:t>WELS</w:t>
        </w:r>
      </w:smartTag>
      <w:r>
        <w:t xml:space="preserve">. Although the combination of </w:t>
      </w:r>
      <w:smartTag w:uri="urn:schemas-microsoft-com:office:smarttags" w:element="City">
        <w:r>
          <w:t>WELS</w:t>
        </w:r>
      </w:smartTag>
      <w:r>
        <w:t xml:space="preserve"> and these other factors and programs may have slightly increased the rate of turnover of existing stock, any increase is unlikely to be sustained over time.</w:t>
      </w:r>
    </w:p>
    <w:p w:rsidR="00000000" w:rsidRDefault="00D35856">
      <w:pPr>
        <w:keepNext w:val="0"/>
        <w:widowControl w:val="0"/>
        <w:numPr>
          <w:ilvl w:val="0"/>
          <w:numId w:val="6"/>
        </w:numPr>
      </w:pPr>
      <w:r>
        <w:t>Sales numbers may be in</w:t>
      </w:r>
      <w:r>
        <w:t xml:space="preserve">creasing due to a number of independent factors, such as increased product range of models at different prices with different features (due to overseas supply chains), or rising household incomes. The extent to which </w:t>
      </w:r>
      <w:smartTag w:uri="urn:schemas-microsoft-com:office:smarttags" w:element="City">
        <w:r>
          <w:t>WELS</w:t>
        </w:r>
      </w:smartTag>
      <w:r>
        <w:t xml:space="preserve"> further encourages replace</w:t>
      </w:r>
      <w:r>
        <w:t>ment of existing stock is likely to be negligible.</w:t>
      </w:r>
    </w:p>
    <w:p w:rsidR="00000000" w:rsidRDefault="00D35856">
      <w:pPr>
        <w:keepNext w:val="0"/>
        <w:widowControl w:val="0"/>
      </w:pPr>
      <w:r>
        <w:t xml:space="preserve">Reflecting the above issues, this study has not assessed purchase cost increases associated with any increases in the total number of sales of products attributable to </w:t>
      </w:r>
      <w:smartTag w:uri="urn:schemas-microsoft-com:office:smarttags" w:element="City">
        <w:r>
          <w:t>WELS</w:t>
        </w:r>
      </w:smartTag>
      <w:r>
        <w:t xml:space="preserve">. </w:t>
      </w:r>
    </w:p>
    <w:p w:rsidR="00000000" w:rsidRDefault="00D35856">
      <w:pPr>
        <w:pStyle w:val="Heading3"/>
        <w:keepNext w:val="0"/>
        <w:numPr>
          <w:ilvl w:val="2"/>
          <w:numId w:val="3"/>
        </w:numPr>
        <w:tabs>
          <w:tab w:val="clear" w:pos="1440"/>
        </w:tabs>
        <w:ind w:left="851" w:hanging="851"/>
        <w:rPr>
          <w:color w:val="auto"/>
        </w:rPr>
      </w:pPr>
      <w:bookmarkStart w:id="180" w:name="_Toc199933758"/>
      <w:r>
        <w:rPr>
          <w:color w:val="auto"/>
        </w:rPr>
        <w:t>Ret</w:t>
      </w:r>
      <w:r>
        <w:rPr>
          <w:color w:val="auto"/>
        </w:rPr>
        <w:t>ail price premiums</w:t>
      </w:r>
      <w:bookmarkEnd w:id="180"/>
    </w:p>
    <w:p w:rsidR="00000000" w:rsidRDefault="00D35856">
      <w:pPr>
        <w:keepNext w:val="0"/>
        <w:widowControl w:val="0"/>
      </w:pPr>
      <w:r>
        <w:t>It is possible that  more water-efficient products are, on average, more costly to manufacture than less water-efficient products (George Wilkenfeld and Associates 2004). Although price relativities between products do not n</w:t>
      </w:r>
      <w:r>
        <w:t xml:space="preserve">ecessarily reflect </w:t>
      </w:r>
      <w:r>
        <w:lastRenderedPageBreak/>
        <w:t xml:space="preserve">underlying costs, if higher star rating products are most costly to produce, then this costs could be passed through to customers. </w:t>
      </w:r>
    </w:p>
    <w:p w:rsidR="00000000" w:rsidRDefault="00D35856">
      <w:pPr>
        <w:keepNext w:val="0"/>
        <w:widowControl w:val="0"/>
      </w:pPr>
      <w:r>
        <w:t xml:space="preserve">However, </w:t>
      </w:r>
      <w:smartTag w:uri="urn:schemas-microsoft-com:office:smarttags" w:element="City">
        <w:r>
          <w:t>WELS</w:t>
        </w:r>
      </w:smartTag>
      <w:r>
        <w:t xml:space="preserve"> is only one factor that influences retail prices, or the availability of models at </w:t>
      </w:r>
      <w:r>
        <w:t xml:space="preserve">different prices. For example, several industry respondents suggested that the shifting of manufacturing operations to low cost-base countries has had, and will continue to have, a far greater influence on product prices than </w:t>
      </w:r>
      <w:smartTag w:uri="urn:schemas-microsoft-com:office:smarttags" w:element="City">
        <w:r>
          <w:t>WELS</w:t>
        </w:r>
      </w:smartTag>
      <w:r>
        <w:t xml:space="preserve"> or other Australi</w:t>
      </w:r>
      <w:r>
        <w:t xml:space="preserve">an standards. Furthermore, even if more water-efficient models introduced in response to labelling are initially sold at a price premium, this premium is likely to diminish as the production and/or import of newer and more water-efficient models increases </w:t>
      </w:r>
      <w:r>
        <w:t xml:space="preserve">(George Wilkenfeld and Associates 2004). </w:t>
      </w:r>
    </w:p>
    <w:p w:rsidR="00000000" w:rsidRDefault="00D35856">
      <w:pPr>
        <w:keepNext w:val="0"/>
        <w:widowControl w:val="0"/>
        <w:rPr>
          <w:b/>
          <w:i/>
        </w:rPr>
      </w:pPr>
      <w:r>
        <w:rPr>
          <w:b/>
          <w:i/>
        </w:rPr>
        <w:t>Taps, showerheads, toilets and urinals</w:t>
      </w:r>
    </w:p>
    <w:p w:rsidR="00000000" w:rsidRDefault="00D35856">
      <w:pPr>
        <w:keepNext w:val="0"/>
        <w:widowControl w:val="0"/>
      </w:pPr>
      <w:r>
        <w:t>Sales data is not available for taps, showerheads, toilets and urinals. However, for these products, all industry stakeholders contacted suggested that price premiums for high</w:t>
      </w:r>
      <w:r>
        <w:t>er star rated models were zero or negligible, and that models were available for purchase at a range of prices at each star rating. Other reasons why there are unlikely to be higher product purchase costs due to price premiums include:</w:t>
      </w:r>
    </w:p>
    <w:p w:rsidR="00000000" w:rsidRDefault="00D35856">
      <w:pPr>
        <w:keepNext w:val="0"/>
        <w:widowControl w:val="0"/>
        <w:numPr>
          <w:ilvl w:val="0"/>
          <w:numId w:val="6"/>
        </w:numPr>
      </w:pPr>
      <w:r>
        <w:t xml:space="preserve">For showers, over </w:t>
      </w:r>
      <w:r>
        <w:t xml:space="preserve">80% of currently approved single, family or sets of minor products are rated 3 star (the highest star rating). Stakeholders interviewed for this study also suggested that most showerheads available and purchased are 3 star. For example, in </w:t>
      </w:r>
      <w:smartTag w:uri="urn:schemas-microsoft-com:office:smarttags" w:element="City">
        <w:r>
          <w:t xml:space="preserve">Western </w:t>
        </w:r>
        <w:r>
          <w:t>Australia</w:t>
        </w:r>
      </w:smartTag>
      <w:r>
        <w:t>, rebates for 3 star showerheads have recently been removed due to widespread availability and uptake (ref web). Therefore even if price premiums existed, product purchase costs are likely to be insignificant for showers.</w:t>
      </w:r>
    </w:p>
    <w:p w:rsidR="00000000" w:rsidRDefault="00D35856">
      <w:pPr>
        <w:keepNext w:val="0"/>
        <w:widowControl w:val="0"/>
        <w:numPr>
          <w:ilvl w:val="0"/>
          <w:numId w:val="6"/>
        </w:numPr>
      </w:pPr>
      <w:r>
        <w:t xml:space="preserve">The majority of toilet </w:t>
      </w:r>
      <w:r>
        <w:t>and cistern combinations currently available on the market are 3 and 4 star. For toilets, industry stakeholders and DEWHA (pers. comm.) suggested that there are no price premiums for 4 star toilets over 3 star toilets, because one of the major market suppl</w:t>
      </w:r>
      <w:r>
        <w:t xml:space="preserve">iers in </w:t>
      </w:r>
      <w:smartTag w:uri="urn:schemas-microsoft-com:office:smarttags" w:element="City">
        <w:r>
          <w:t>Australia</w:t>
        </w:r>
      </w:smartTag>
      <w:r>
        <w:t xml:space="preserve"> was also a leader in developing a 4 star product range.</w:t>
      </w:r>
    </w:p>
    <w:p w:rsidR="00000000" w:rsidRDefault="00D35856">
      <w:pPr>
        <w:keepNext w:val="0"/>
        <w:widowControl w:val="0"/>
        <w:rPr>
          <w:b/>
          <w:i/>
        </w:rPr>
      </w:pPr>
      <w:r>
        <w:rPr>
          <w:b/>
          <w:i/>
        </w:rPr>
        <w:t>Washing machines and dishwashers</w:t>
      </w:r>
    </w:p>
    <w:p w:rsidR="00000000" w:rsidRDefault="00D35856">
      <w:pPr>
        <w:keepNext w:val="0"/>
        <w:widowControl w:val="0"/>
      </w:pPr>
      <w:r>
        <w:t>The original RIS noted that for more complex products such as clothes washing machines and dishwashers, the correlation betwee</w:t>
      </w:r>
      <w:r>
        <w:t>n water efficiency and manufacturing costs is weak, especially at the beginning of the improvement process (George Wilkenfeld and Associates 2004). However, the RIS assumed a small initial price premium ($15) for more water-efficient clothes washers and di</w:t>
      </w:r>
      <w:r>
        <w:t xml:space="preserve">shwashers. </w:t>
      </w:r>
    </w:p>
    <w:p w:rsidR="00000000" w:rsidRDefault="00D35856">
      <w:pPr>
        <w:keepNext w:val="0"/>
        <w:widowControl w:val="0"/>
      </w:pPr>
      <w:r>
        <w:t xml:space="preserve">Sales data from 2006 (EES 2008) indicates that the average price of models sold was greater for higher star-rated washing machines and dishwashers (see </w:t>
      </w:r>
      <w:fldSimple w:instr=" REF _Ref188075067 \h  \* MERGEFORMAT ">
        <w:r>
          <w:t xml:space="preserve">Figure </w:t>
        </w:r>
        <w:r>
          <w:rPr>
            <w:noProof/>
          </w:rPr>
          <w:t>4</w:t>
        </w:r>
        <w:r>
          <w:rPr>
            <w:noProof/>
          </w:rPr>
          <w:noBreakHyphen/>
          <w:t>3</w:t>
        </w:r>
      </w:fldSimple>
      <w:r>
        <w:t xml:space="preserve"> and </w:t>
      </w:r>
      <w:fldSimple w:instr=" REF _Ref188075070 \h  \* MERGEFORMAT ">
        <w:r>
          <w:t xml:space="preserve">Figure </w:t>
        </w:r>
        <w:r>
          <w:rPr>
            <w:noProof/>
          </w:rPr>
          <w:t>4</w:t>
        </w:r>
        <w:r>
          <w:rPr>
            <w:noProof/>
          </w:rPr>
          <w:noBreakHyphen/>
          <w:t>4</w:t>
        </w:r>
      </w:fldSimple>
      <w:r>
        <w:t xml:space="preserve">; </w:t>
      </w:r>
      <w:fldSimple w:instr=" REF _Ref188076872 \h  \* MERGEFORMAT ">
        <w:r>
          <w:t xml:space="preserve">Figure </w:t>
        </w:r>
        <w:r>
          <w:rPr>
            <w:noProof/>
          </w:rPr>
          <w:t>4</w:t>
        </w:r>
        <w:r>
          <w:rPr>
            <w:noProof/>
          </w:rPr>
          <w:noBreakHyphen/>
          <w:t>5</w:t>
        </w:r>
      </w:fldSimple>
      <w:r>
        <w:t xml:space="preserve"> and </w:t>
      </w:r>
      <w:fldSimple w:instr=" REF _Ref188076873 \h  \* MERGEFORMAT ">
        <w:r>
          <w:t xml:space="preserve">Figure </w:t>
        </w:r>
        <w:r>
          <w:rPr>
            <w:noProof/>
          </w:rPr>
          <w:t>4</w:t>
        </w:r>
        <w:r>
          <w:rPr>
            <w:noProof/>
          </w:rPr>
          <w:noBreakHyphen/>
          <w:t>6</w:t>
        </w:r>
      </w:fldSimple>
      <w:r>
        <w:t>). However, a range of evidence indicates that higher product costs due to price premiums would be negligible:</w:t>
      </w:r>
    </w:p>
    <w:p w:rsidR="00000000" w:rsidRDefault="00D35856">
      <w:pPr>
        <w:keepNext w:val="0"/>
        <w:widowControl w:val="0"/>
        <w:numPr>
          <w:ilvl w:val="0"/>
          <w:numId w:val="6"/>
        </w:numPr>
      </w:pPr>
      <w:r>
        <w:t>Washing machines and dishwashers are available at a range of star ra</w:t>
      </w:r>
      <w:r>
        <w:t>tings (</w:t>
      </w:r>
      <w:fldSimple w:instr=" REF _Ref188074574 \h  \* MERGEFORMAT ">
        <w:r>
          <w:t xml:space="preserve">Figure </w:t>
        </w:r>
        <w:r>
          <w:rPr>
            <w:noProof/>
          </w:rPr>
          <w:t>4</w:t>
        </w:r>
        <w:r>
          <w:rPr>
            <w:noProof/>
          </w:rPr>
          <w:noBreakHyphen/>
          <w:t>7</w:t>
        </w:r>
      </w:fldSimple>
      <w:r>
        <w:t xml:space="preserve">) and at a range of prices within each star rating (see </w:t>
      </w:r>
      <w:fldSimple w:instr=" REF _Ref188076801 \h  \* MERGEFORMAT ">
        <w:r>
          <w:t xml:space="preserve">Figure </w:t>
        </w:r>
        <w:r>
          <w:rPr>
            <w:noProof/>
          </w:rPr>
          <w:t>4</w:t>
        </w:r>
        <w:r>
          <w:rPr>
            <w:noProof/>
          </w:rPr>
          <w:noBreakHyphen/>
          <w:t>8</w:t>
        </w:r>
      </w:fldSimple>
      <w:r>
        <w:t xml:space="preserve"> and </w:t>
      </w:r>
      <w:fldSimple w:instr=" REF _Ref188076803 \h  \* MERGEFORMAT ">
        <w:r>
          <w:t xml:space="preserve">Figure </w:t>
        </w:r>
        <w:r>
          <w:rPr>
            <w:noProof/>
          </w:rPr>
          <w:t>4</w:t>
        </w:r>
        <w:r>
          <w:rPr>
            <w:noProof/>
          </w:rPr>
          <w:noBreakHyphen/>
          <w:t>9</w:t>
        </w:r>
      </w:fldSimple>
      <w:r>
        <w:t xml:space="preserve">). </w:t>
      </w:r>
    </w:p>
    <w:p w:rsidR="00000000" w:rsidRDefault="00D35856">
      <w:pPr>
        <w:keepNext w:val="0"/>
        <w:widowControl w:val="0"/>
        <w:numPr>
          <w:ilvl w:val="0"/>
          <w:numId w:val="6"/>
        </w:numPr>
      </w:pPr>
      <w:r>
        <w:t xml:space="preserve">In 2006, on average buyers paid more for 2.5 star machines than 4 or 3 star </w:t>
      </w:r>
      <w:r>
        <w:lastRenderedPageBreak/>
        <w:t>machines (see s</w:t>
      </w:r>
      <w:r>
        <w:t xml:space="preserve">ales-weighted price in </w:t>
      </w:r>
      <w:fldSimple w:instr=" REF _Ref188075067 \h  \* MERGEFORMAT ">
        <w:r>
          <w:t xml:space="preserve">Figure </w:t>
        </w:r>
        <w:r>
          <w:rPr>
            <w:noProof/>
          </w:rPr>
          <w:t>4</w:t>
        </w:r>
        <w:r>
          <w:rPr>
            <w:noProof/>
          </w:rPr>
          <w:noBreakHyphen/>
          <w:t>3</w:t>
        </w:r>
      </w:fldSimple>
      <w:r>
        <w:t xml:space="preserve">). As illustrated in </w:t>
      </w:r>
      <w:fldSimple w:instr=" REF _Ref188075067 \h  \* MERGEFORMAT ">
        <w:r>
          <w:t xml:space="preserve">Figure </w:t>
        </w:r>
        <w:r>
          <w:rPr>
            <w:noProof/>
          </w:rPr>
          <w:t>4</w:t>
        </w:r>
        <w:r>
          <w:rPr>
            <w:noProof/>
          </w:rPr>
          <w:noBreakHyphen/>
          <w:t>3</w:t>
        </w:r>
      </w:fldSimple>
      <w:r>
        <w:t>, average purchase price at each star rating depends on the number of models available at that star rating, rather than the star rating itself.</w:t>
      </w:r>
    </w:p>
    <w:p w:rsidR="00000000" w:rsidRDefault="00D35856">
      <w:pPr>
        <w:keepNext w:val="0"/>
        <w:widowControl w:val="0"/>
        <w:numPr>
          <w:ilvl w:val="0"/>
          <w:numId w:val="6"/>
        </w:numPr>
      </w:pPr>
      <w:r>
        <w:t xml:space="preserve">As illustrated in </w:t>
      </w:r>
      <w:fldSimple w:instr=" REF _Ref188076872 \h  \* MERGEFORMAT ">
        <w:r>
          <w:t xml:space="preserve">Figure </w:t>
        </w:r>
        <w:r>
          <w:rPr>
            <w:noProof/>
          </w:rPr>
          <w:t>4</w:t>
        </w:r>
        <w:r>
          <w:rPr>
            <w:noProof/>
          </w:rPr>
          <w:noBreakHyphen/>
          <w:t>5</w:t>
        </w:r>
      </w:fldSimple>
      <w:r>
        <w:t>, there are few top-loading models available at higher star ratings (3.5 and above) and few front-loading models available at lower star ratings (3 and below). There are a range of models available at each star ra</w:t>
      </w:r>
      <w:r>
        <w:t xml:space="preserve">ting at each price band, except for the cheapest models (less than $500). However, it is likely that price, rather than water efficiency, is a major influencing factor in the decisions made by purchasers or suppliers of these models. </w:t>
      </w:r>
    </w:p>
    <w:p w:rsidR="00000000" w:rsidRDefault="00D35856">
      <w:pPr>
        <w:keepNext w:val="0"/>
        <w:widowControl w:val="0"/>
        <w:numPr>
          <w:ilvl w:val="0"/>
          <w:numId w:val="6"/>
        </w:numPr>
      </w:pPr>
      <w:r>
        <w:t>In addition to star</w:t>
      </w:r>
      <w:r>
        <w:t xml:space="preserve"> rating and price, a key characteristic of washing machines that influences purchaser decisions is capacity. There could be a price premium for higher star rated washing machines if the range of higher-star rated models at different capacities was constrai</w:t>
      </w:r>
      <w:r>
        <w:t xml:space="preserve">ned, and there was a price premium for greater capacity models. However, as illustrated in </w:t>
      </w:r>
      <w:fldSimple w:instr=" REF _Ref191108989 \h  \* MERGEFORMAT ">
        <w:r>
          <w:t xml:space="preserve">Figure </w:t>
        </w:r>
        <w:r>
          <w:rPr>
            <w:noProof/>
          </w:rPr>
          <w:t>4</w:t>
        </w:r>
        <w:r>
          <w:rPr>
            <w:noProof/>
          </w:rPr>
          <w:noBreakHyphen/>
          <w:t>10:</w:t>
        </w:r>
        <w:r>
          <w:t xml:space="preserve"> Washing machines  – capacity of available models</w:t>
        </w:r>
      </w:fldSimple>
      <w:r>
        <w:t>, this is not the case.</w:t>
      </w:r>
    </w:p>
    <w:p w:rsidR="00000000" w:rsidRDefault="00D35856">
      <w:pPr>
        <w:keepNext w:val="0"/>
        <w:widowControl w:val="0"/>
        <w:numPr>
          <w:ilvl w:val="0"/>
          <w:numId w:val="6"/>
        </w:numPr>
      </w:pPr>
      <w:r>
        <w:t>There appears to be a small price premium in terms of the average price of available 4.5 and 5 star washing machines, but industry stakeholders contacted for this study indicated that this price premium is temporary and reflects</w:t>
      </w:r>
      <w:r>
        <w:t xml:space="preserve"> the fact that there are not yet a wide range of models available at 4.5 and 5 star (possibly due to focus on introducing 4 star models in response to rebates). Stakeholders suggested that as suppliers anticipated demand for higher star rating machines to </w:t>
      </w:r>
      <w:r>
        <w:t xml:space="preserve">increase, model ranges would rapidly increase for these star ratings, and the price premium would reduce. Furthermore, as indicated in </w:t>
      </w:r>
      <w:fldSimple w:instr=" REF _Ref191115867 \h  \* MERGEFORMAT ">
        <w:r>
          <w:t xml:space="preserve">Figure </w:t>
        </w:r>
        <w:r>
          <w:rPr>
            <w:noProof/>
          </w:rPr>
          <w:t>4</w:t>
        </w:r>
        <w:r>
          <w:rPr>
            <w:noProof/>
          </w:rPr>
          <w:noBreakHyphen/>
          <w:t>12</w:t>
        </w:r>
      </w:fldSimple>
      <w:r>
        <w:t>, th</w:t>
      </w:r>
      <w:r>
        <w:t>e price premium (sales-weighted) of front-loaders over top-loaders has been decreasing since around 2001.</w:t>
      </w:r>
    </w:p>
    <w:p w:rsidR="00000000" w:rsidRDefault="00D35856">
      <w:pPr>
        <w:keepNext w:val="0"/>
        <w:widowControl w:val="0"/>
        <w:numPr>
          <w:ilvl w:val="0"/>
          <w:numId w:val="6"/>
        </w:numPr>
      </w:pPr>
      <w:r>
        <w:t>For both washing machines and dishwashers, the majority of models across all star ratings are sold at “mid” price ranges ($500-$1000). Sales-weighte</w:t>
      </w:r>
      <w:r>
        <w:t>d prices (</w:t>
      </w:r>
      <w:fldSimple w:instr=" REF _Ref188075067 \h  \* MERGEFORMAT ">
        <w:r>
          <w:t xml:space="preserve">Figure </w:t>
        </w:r>
        <w:r>
          <w:rPr>
            <w:noProof/>
          </w:rPr>
          <w:t>4</w:t>
        </w:r>
        <w:r>
          <w:rPr>
            <w:noProof/>
          </w:rPr>
          <w:noBreakHyphen/>
          <w:t>3</w:t>
        </w:r>
      </w:fldSimple>
      <w:r>
        <w:t xml:space="preserve"> and </w:t>
      </w:r>
      <w:fldSimple w:instr=" REF _Ref188075070 \h  \* MERGEFORMAT ">
        <w:r>
          <w:t xml:space="preserve">Figure </w:t>
        </w:r>
        <w:r>
          <w:rPr>
            <w:noProof/>
          </w:rPr>
          <w:t>4</w:t>
        </w:r>
        <w:r>
          <w:rPr>
            <w:noProof/>
          </w:rPr>
          <w:noBreakHyphen/>
          <w:t>4</w:t>
        </w:r>
      </w:fldSimple>
      <w:r>
        <w:t xml:space="preserve">) indicate </w:t>
      </w:r>
      <w:r>
        <w:t xml:space="preserve">that customers are not generally paying more for higher star-rated washing machines (except for 5 star, which comprise a small proportion of overall sales). </w:t>
      </w:r>
    </w:p>
    <w:p w:rsidR="00000000" w:rsidRDefault="00D35856">
      <w:pPr>
        <w:keepNext w:val="0"/>
        <w:widowControl w:val="0"/>
      </w:pPr>
      <w:r>
        <w:t>As demand appears to drive the number of models available at each star rating, and the number of m</w:t>
      </w:r>
      <w:r>
        <w:t>odels appears to have a greater influence on price than does star rating, in this study, the higher product purchase costs due to price premiums for higher star rated products has been assumed to be zero.</w:t>
      </w:r>
    </w:p>
    <w:p w:rsidR="00000000" w:rsidRDefault="00D35856">
      <w:pPr>
        <w:pStyle w:val="Caption"/>
        <w:keepNext w:val="0"/>
        <w:pageBreakBefore/>
      </w:pPr>
      <w:bookmarkStart w:id="181" w:name="_Ref188075067"/>
      <w:bookmarkStart w:id="182" w:name="_Toc191475269"/>
      <w:bookmarkStart w:id="183" w:name="_Toc199933832"/>
      <w:r>
        <w:lastRenderedPageBreak/>
        <w:t xml:space="preserve">Figure </w:t>
      </w:r>
      <w:r>
        <w:fldChar w:fldCharType="begin"/>
      </w:r>
      <w:r>
        <w:instrText xml:space="preserve"> STYL</w:instrText>
      </w:r>
      <w:r>
        <w:instrText xml:space="preserve">EREF 1 \s </w:instrText>
      </w:r>
      <w:r>
        <w:fldChar w:fldCharType="separate"/>
      </w:r>
      <w:r>
        <w:rPr>
          <w:noProof/>
        </w:rPr>
        <w:t>4</w:t>
      </w:r>
      <w:r>
        <w:fldChar w:fldCharType="end"/>
      </w:r>
      <w:r>
        <w:noBreakHyphen/>
      </w:r>
      <w:r>
        <w:fldChar w:fldCharType="begin"/>
      </w:r>
      <w:r>
        <w:instrText xml:space="preserve"> SEQ Figure \* ARABIC \s 1 </w:instrText>
      </w:r>
      <w:r>
        <w:fldChar w:fldCharType="separate"/>
      </w:r>
      <w:r>
        <w:rPr>
          <w:noProof/>
        </w:rPr>
        <w:t>3</w:t>
      </w:r>
      <w:r>
        <w:fldChar w:fldCharType="end"/>
      </w:r>
      <w:bookmarkEnd w:id="181"/>
      <w:r>
        <w:t>: Washing machine sales  in 2006 and prices by star rating</w:t>
      </w:r>
      <w:bookmarkEnd w:id="182"/>
      <w:bookmarkEnd w:id="183"/>
    </w:p>
    <w:p w:rsidR="00000000" w:rsidRDefault="00D35856">
      <w:pPr>
        <w:keepNext w:val="0"/>
        <w:widowControl w:val="0"/>
        <w:jc w:val="center"/>
      </w:pPr>
      <w:r>
        <w:rPr>
          <w:noProof/>
          <w:lang w:eastAsia="en-AU"/>
        </w:rPr>
        <w:drawing>
          <wp:inline distT="0" distB="0" distL="0" distR="0">
            <wp:extent cx="3276600" cy="2087880"/>
            <wp:effectExtent l="19050" t="0" r="0" b="0"/>
            <wp:docPr id="26" name="Picture 26" descr="Fig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igure 4-3"/>
                    <pic:cNvPicPr>
                      <a:picLocks noChangeAspect="1" noChangeArrowheads="1"/>
                    </pic:cNvPicPr>
                  </pic:nvPicPr>
                  <pic:blipFill>
                    <a:blip r:embed="rId39"/>
                    <a:srcRect l="1672" t="13428" r="1672" b="2231"/>
                    <a:stretch>
                      <a:fillRect/>
                    </a:stretch>
                  </pic:blipFill>
                  <pic:spPr bwMode="auto">
                    <a:xfrm>
                      <a:off x="0" y="0"/>
                      <a:ext cx="3276600" cy="2087880"/>
                    </a:xfrm>
                    <a:prstGeom prst="rect">
                      <a:avLst/>
                    </a:prstGeom>
                    <a:noFill/>
                    <a:ln w="9525">
                      <a:noFill/>
                      <a:miter lim="800000"/>
                      <a:headEnd/>
                      <a:tailEnd/>
                    </a:ln>
                  </pic:spPr>
                </pic:pic>
              </a:graphicData>
            </a:graphic>
          </wp:inline>
        </w:drawing>
      </w:r>
    </w:p>
    <w:p w:rsidR="00000000" w:rsidRDefault="00D35856">
      <w:pPr>
        <w:pStyle w:val="Caption"/>
        <w:keepNext w:val="0"/>
      </w:pPr>
      <w:bookmarkStart w:id="184" w:name="_Ref188075070"/>
      <w:bookmarkStart w:id="185" w:name="_Toc191475270"/>
      <w:bookmarkStart w:id="186" w:name="_Toc199933833"/>
      <w:r>
        <w:t xml:space="preserve">Figure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Figure \* ARABIC \s 1 </w:instrText>
      </w:r>
      <w:r>
        <w:fldChar w:fldCharType="separate"/>
      </w:r>
      <w:r>
        <w:rPr>
          <w:noProof/>
        </w:rPr>
        <w:t>4</w:t>
      </w:r>
      <w:r>
        <w:fldChar w:fldCharType="end"/>
      </w:r>
      <w:bookmarkEnd w:id="184"/>
      <w:r>
        <w:t>: Dishwasher sales in 2006 and prices by star rating</w:t>
      </w:r>
      <w:bookmarkEnd w:id="185"/>
      <w:bookmarkEnd w:id="186"/>
    </w:p>
    <w:p w:rsidR="00000000" w:rsidRDefault="00D35856">
      <w:pPr>
        <w:keepNext w:val="0"/>
        <w:widowControl w:val="0"/>
        <w:jc w:val="center"/>
      </w:pPr>
      <w:r>
        <w:rPr>
          <w:noProof/>
          <w:lang w:eastAsia="en-AU"/>
        </w:rPr>
        <w:drawing>
          <wp:inline distT="0" distB="0" distL="0" distR="0">
            <wp:extent cx="3307080" cy="2125980"/>
            <wp:effectExtent l="19050" t="0" r="7620" b="0"/>
            <wp:docPr id="27" name="Picture 27" descr="Fig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igure 4-4"/>
                    <pic:cNvPicPr>
                      <a:picLocks noChangeAspect="1" noChangeArrowheads="1"/>
                    </pic:cNvPicPr>
                  </pic:nvPicPr>
                  <pic:blipFill>
                    <a:blip r:embed="rId40"/>
                    <a:srcRect l="1678" t="13365" r="1678" b="2220"/>
                    <a:stretch>
                      <a:fillRect/>
                    </a:stretch>
                  </pic:blipFill>
                  <pic:spPr bwMode="auto">
                    <a:xfrm>
                      <a:off x="0" y="0"/>
                      <a:ext cx="3307080" cy="2125980"/>
                    </a:xfrm>
                    <a:prstGeom prst="rect">
                      <a:avLst/>
                    </a:prstGeom>
                    <a:noFill/>
                    <a:ln w="9525">
                      <a:noFill/>
                      <a:miter lim="800000"/>
                      <a:headEnd/>
                      <a:tailEnd/>
                    </a:ln>
                  </pic:spPr>
                </pic:pic>
              </a:graphicData>
            </a:graphic>
          </wp:inline>
        </w:drawing>
      </w:r>
    </w:p>
    <w:p w:rsidR="00000000" w:rsidRDefault="00D35856">
      <w:pPr>
        <w:pStyle w:val="Caption"/>
        <w:keepNext w:val="0"/>
      </w:pPr>
      <w:bookmarkStart w:id="187" w:name="_Ref188076872"/>
      <w:bookmarkStart w:id="188" w:name="_Toc191475271"/>
      <w:bookmarkStart w:id="189" w:name="_Toc199933834"/>
      <w:r>
        <w:t xml:space="preserve">Figure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Figure \* ARABIC \s 1 </w:instrText>
      </w:r>
      <w:r>
        <w:fldChar w:fldCharType="separate"/>
      </w:r>
      <w:r>
        <w:rPr>
          <w:noProof/>
        </w:rPr>
        <w:t>5</w:t>
      </w:r>
      <w:r>
        <w:fldChar w:fldCharType="end"/>
      </w:r>
      <w:bookmarkEnd w:id="187"/>
      <w:r>
        <w:t>: Washing machines sold in 2006 by price category</w:t>
      </w:r>
      <w:bookmarkEnd w:id="188"/>
      <w:bookmarkEnd w:id="189"/>
    </w:p>
    <w:p w:rsidR="00000000" w:rsidRDefault="00D35856">
      <w:pPr>
        <w:keepNext w:val="0"/>
        <w:widowControl w:val="0"/>
        <w:jc w:val="center"/>
      </w:pPr>
      <w:r>
        <w:rPr>
          <w:noProof/>
          <w:lang w:eastAsia="en-AU"/>
        </w:rPr>
        <w:drawing>
          <wp:inline distT="0" distB="0" distL="0" distR="0">
            <wp:extent cx="5455920" cy="2720340"/>
            <wp:effectExtent l="0" t="0" r="0" b="0"/>
            <wp:docPr id="28" name="Picture 28" descr="Fig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gure 4-5"/>
                    <pic:cNvPicPr>
                      <a:picLocks noChangeAspect="1" noChangeArrowheads="1"/>
                    </pic:cNvPicPr>
                  </pic:nvPicPr>
                  <pic:blipFill>
                    <a:blip r:embed="rId41"/>
                    <a:srcRect/>
                    <a:stretch>
                      <a:fillRect/>
                    </a:stretch>
                  </pic:blipFill>
                  <pic:spPr bwMode="auto">
                    <a:xfrm>
                      <a:off x="0" y="0"/>
                      <a:ext cx="5455920" cy="2720340"/>
                    </a:xfrm>
                    <a:prstGeom prst="rect">
                      <a:avLst/>
                    </a:prstGeom>
                    <a:noFill/>
                    <a:ln w="9525">
                      <a:noFill/>
                      <a:miter lim="800000"/>
                      <a:headEnd/>
                      <a:tailEnd/>
                    </a:ln>
                  </pic:spPr>
                </pic:pic>
              </a:graphicData>
            </a:graphic>
          </wp:inline>
        </w:drawing>
      </w:r>
    </w:p>
    <w:p w:rsidR="00000000" w:rsidRDefault="00D35856">
      <w:pPr>
        <w:pStyle w:val="Caption"/>
        <w:keepNext w:val="0"/>
        <w:pageBreakBefore/>
      </w:pPr>
      <w:bookmarkStart w:id="190" w:name="_Ref188076873"/>
      <w:bookmarkStart w:id="191" w:name="_Toc191475272"/>
      <w:bookmarkStart w:id="192" w:name="_Toc199933835"/>
      <w:r>
        <w:lastRenderedPageBreak/>
        <w:t xml:space="preserve">Figure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Figure \* ARABIC \s 1 </w:instrText>
      </w:r>
      <w:r>
        <w:fldChar w:fldCharType="separate"/>
      </w:r>
      <w:r>
        <w:rPr>
          <w:noProof/>
        </w:rPr>
        <w:t>6</w:t>
      </w:r>
      <w:r>
        <w:fldChar w:fldCharType="end"/>
      </w:r>
      <w:bookmarkEnd w:id="190"/>
      <w:r>
        <w:t>: Dishwashers sold in 2006 by price category</w:t>
      </w:r>
      <w:bookmarkEnd w:id="191"/>
      <w:bookmarkEnd w:id="192"/>
    </w:p>
    <w:p w:rsidR="00000000" w:rsidRDefault="00D35856">
      <w:pPr>
        <w:keepNext w:val="0"/>
        <w:widowControl w:val="0"/>
        <w:jc w:val="center"/>
      </w:pPr>
      <w:r>
        <w:rPr>
          <w:noProof/>
          <w:lang w:eastAsia="en-AU"/>
        </w:rPr>
        <w:drawing>
          <wp:inline distT="0" distB="0" distL="0" distR="0">
            <wp:extent cx="3680460" cy="2430780"/>
            <wp:effectExtent l="0" t="0" r="0" b="0"/>
            <wp:docPr id="29" name="Picture 29" descr="Fig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igure 4-6"/>
                    <pic:cNvPicPr>
                      <a:picLocks noChangeAspect="1" noChangeArrowheads="1"/>
                    </pic:cNvPicPr>
                  </pic:nvPicPr>
                  <pic:blipFill>
                    <a:blip r:embed="rId42"/>
                    <a:srcRect/>
                    <a:stretch>
                      <a:fillRect/>
                    </a:stretch>
                  </pic:blipFill>
                  <pic:spPr bwMode="auto">
                    <a:xfrm>
                      <a:off x="0" y="0"/>
                      <a:ext cx="3680460" cy="2430780"/>
                    </a:xfrm>
                    <a:prstGeom prst="rect">
                      <a:avLst/>
                    </a:prstGeom>
                    <a:noFill/>
                    <a:ln w="9525">
                      <a:noFill/>
                      <a:miter lim="800000"/>
                      <a:headEnd/>
                      <a:tailEnd/>
                    </a:ln>
                  </pic:spPr>
                </pic:pic>
              </a:graphicData>
            </a:graphic>
          </wp:inline>
        </w:drawing>
      </w:r>
    </w:p>
    <w:p w:rsidR="00000000" w:rsidRDefault="00D35856">
      <w:pPr>
        <w:pStyle w:val="Caption"/>
        <w:keepNext w:val="0"/>
      </w:pPr>
      <w:bookmarkStart w:id="193" w:name="_Ref188074574"/>
      <w:bookmarkStart w:id="194" w:name="_Toc191475273"/>
      <w:bookmarkStart w:id="195" w:name="_Toc199933836"/>
      <w:r>
        <w:t xml:space="preserve">Figure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Figure \* ARABIC \s 1 </w:instrText>
      </w:r>
      <w:r>
        <w:fldChar w:fldCharType="separate"/>
      </w:r>
      <w:r>
        <w:rPr>
          <w:noProof/>
        </w:rPr>
        <w:t>7</w:t>
      </w:r>
      <w:r>
        <w:fldChar w:fldCharType="end"/>
      </w:r>
      <w:bookmarkEnd w:id="193"/>
      <w:r>
        <w:t>: Number of models available for dishwashers (a) and clothes washers (b) in 2006</w:t>
      </w:r>
      <w:bookmarkEnd w:id="194"/>
      <w:bookmarkEnd w:id="195"/>
    </w:p>
    <w:p w:rsidR="00000000" w:rsidRDefault="00D35856">
      <w:pPr>
        <w:keepNext w:val="0"/>
        <w:widowControl w:val="0"/>
        <w:jc w:val="center"/>
      </w:pPr>
      <w:r>
        <w:rPr>
          <w:noProof/>
          <w:lang w:eastAsia="en-AU"/>
        </w:rPr>
        <w:drawing>
          <wp:inline distT="0" distB="0" distL="0" distR="0">
            <wp:extent cx="4488180" cy="2133600"/>
            <wp:effectExtent l="0" t="0" r="0" b="0"/>
            <wp:docPr id="30" name="Picture 30" descr="Fig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igure 4-7"/>
                    <pic:cNvPicPr>
                      <a:picLocks noChangeAspect="1" noChangeArrowheads="1"/>
                    </pic:cNvPicPr>
                  </pic:nvPicPr>
                  <pic:blipFill>
                    <a:blip r:embed="rId43"/>
                    <a:srcRect/>
                    <a:stretch>
                      <a:fillRect/>
                    </a:stretch>
                  </pic:blipFill>
                  <pic:spPr bwMode="auto">
                    <a:xfrm>
                      <a:off x="0" y="0"/>
                      <a:ext cx="4488180" cy="2133600"/>
                    </a:xfrm>
                    <a:prstGeom prst="rect">
                      <a:avLst/>
                    </a:prstGeom>
                    <a:noFill/>
                    <a:ln w="9525">
                      <a:noFill/>
                      <a:miter lim="800000"/>
                      <a:headEnd/>
                      <a:tailEnd/>
                    </a:ln>
                  </pic:spPr>
                </pic:pic>
              </a:graphicData>
            </a:graphic>
          </wp:inline>
        </w:drawing>
      </w:r>
    </w:p>
    <w:p w:rsidR="00000000" w:rsidRDefault="00D35856">
      <w:pPr>
        <w:pStyle w:val="Caption"/>
        <w:keepNext w:val="0"/>
      </w:pPr>
      <w:bookmarkStart w:id="196" w:name="_Ref188076801"/>
      <w:bookmarkStart w:id="197" w:name="_Toc191475274"/>
      <w:bookmarkStart w:id="198" w:name="_Toc199933837"/>
      <w:r>
        <w:t xml:space="preserve">Figure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Figure \* ARABIC \s 1 </w:instrText>
      </w:r>
      <w:r>
        <w:fldChar w:fldCharType="separate"/>
      </w:r>
      <w:r>
        <w:rPr>
          <w:noProof/>
        </w:rPr>
        <w:t>8</w:t>
      </w:r>
      <w:r>
        <w:fldChar w:fldCharType="end"/>
      </w:r>
      <w:bookmarkEnd w:id="196"/>
      <w:r>
        <w:t>: Washing machines – price ranges of available models (2006)</w:t>
      </w:r>
      <w:bookmarkEnd w:id="197"/>
      <w:bookmarkEnd w:id="198"/>
    </w:p>
    <w:p w:rsidR="00000000" w:rsidRDefault="00D35856">
      <w:pPr>
        <w:keepNext w:val="0"/>
        <w:widowControl w:val="0"/>
        <w:jc w:val="center"/>
      </w:pPr>
      <w:r>
        <w:rPr>
          <w:noProof/>
          <w:lang w:eastAsia="en-AU"/>
        </w:rPr>
        <w:drawing>
          <wp:inline distT="0" distB="0" distL="0" distR="0">
            <wp:extent cx="3764280" cy="2057400"/>
            <wp:effectExtent l="19050" t="0" r="7620" b="0"/>
            <wp:docPr id="31" name="Picture 31" descr="Fig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igure 4-8"/>
                    <pic:cNvPicPr>
                      <a:picLocks noChangeAspect="1" noChangeArrowheads="1"/>
                    </pic:cNvPicPr>
                  </pic:nvPicPr>
                  <pic:blipFill>
                    <a:blip r:embed="rId44"/>
                    <a:srcRect l="1497" t="13622" r="1497" b="2263"/>
                    <a:stretch>
                      <a:fillRect/>
                    </a:stretch>
                  </pic:blipFill>
                  <pic:spPr bwMode="auto">
                    <a:xfrm>
                      <a:off x="0" y="0"/>
                      <a:ext cx="3764280" cy="2057400"/>
                    </a:xfrm>
                    <a:prstGeom prst="rect">
                      <a:avLst/>
                    </a:prstGeom>
                    <a:noFill/>
                    <a:ln w="9525">
                      <a:noFill/>
                      <a:miter lim="800000"/>
                      <a:headEnd/>
                      <a:tailEnd/>
                    </a:ln>
                  </pic:spPr>
                </pic:pic>
              </a:graphicData>
            </a:graphic>
          </wp:inline>
        </w:drawing>
      </w:r>
    </w:p>
    <w:p w:rsidR="00000000" w:rsidRDefault="00D35856">
      <w:pPr>
        <w:pStyle w:val="Caption"/>
        <w:keepNext w:val="0"/>
        <w:pageBreakBefore/>
      </w:pPr>
      <w:bookmarkStart w:id="199" w:name="_Ref188076803"/>
      <w:bookmarkStart w:id="200" w:name="_Toc191475275"/>
      <w:bookmarkStart w:id="201" w:name="_Toc199933838"/>
      <w:r>
        <w:lastRenderedPageBreak/>
        <w:t xml:space="preserve">Figure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Figure \* ARABIC \s 1 </w:instrText>
      </w:r>
      <w:r>
        <w:fldChar w:fldCharType="separate"/>
      </w:r>
      <w:r>
        <w:rPr>
          <w:noProof/>
        </w:rPr>
        <w:t>9</w:t>
      </w:r>
      <w:r>
        <w:fldChar w:fldCharType="end"/>
      </w:r>
      <w:bookmarkEnd w:id="199"/>
      <w:r>
        <w:t>: Dishwashers – price range of available models</w:t>
      </w:r>
      <w:bookmarkEnd w:id="200"/>
      <w:bookmarkEnd w:id="201"/>
    </w:p>
    <w:p w:rsidR="00000000" w:rsidRDefault="00D35856">
      <w:pPr>
        <w:keepNext w:val="0"/>
        <w:widowControl w:val="0"/>
        <w:spacing w:after="0"/>
        <w:jc w:val="center"/>
      </w:pPr>
      <w:r>
        <w:rPr>
          <w:noProof/>
          <w:lang w:eastAsia="en-AU"/>
        </w:rPr>
        <w:drawing>
          <wp:inline distT="0" distB="0" distL="0" distR="0">
            <wp:extent cx="3733800" cy="2125980"/>
            <wp:effectExtent l="19050" t="0" r="0" b="0"/>
            <wp:docPr id="32" name="Picture 32" descr="Fig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igure 4-9"/>
                    <pic:cNvPicPr>
                      <a:picLocks noChangeAspect="1" noChangeArrowheads="1"/>
                    </pic:cNvPicPr>
                  </pic:nvPicPr>
                  <pic:blipFill>
                    <a:blip r:embed="rId45"/>
                    <a:srcRect l="1492" t="13655" r="1492" b="2269"/>
                    <a:stretch>
                      <a:fillRect/>
                    </a:stretch>
                  </pic:blipFill>
                  <pic:spPr bwMode="auto">
                    <a:xfrm>
                      <a:off x="0" y="0"/>
                      <a:ext cx="3733800" cy="2125980"/>
                    </a:xfrm>
                    <a:prstGeom prst="rect">
                      <a:avLst/>
                    </a:prstGeom>
                    <a:noFill/>
                    <a:ln w="9525">
                      <a:noFill/>
                      <a:miter lim="800000"/>
                      <a:headEnd/>
                      <a:tailEnd/>
                    </a:ln>
                  </pic:spPr>
                </pic:pic>
              </a:graphicData>
            </a:graphic>
          </wp:inline>
        </w:drawing>
      </w:r>
    </w:p>
    <w:p w:rsidR="00000000" w:rsidRDefault="00D35856">
      <w:pPr>
        <w:pStyle w:val="Caption"/>
        <w:keepNext w:val="0"/>
      </w:pPr>
      <w:bookmarkStart w:id="202" w:name="_Ref191108989"/>
      <w:bookmarkStart w:id="203" w:name="_Toc191475276"/>
      <w:bookmarkStart w:id="204" w:name="_Toc199933839"/>
      <w:bookmarkStart w:id="205" w:name="_Toc187737294"/>
      <w:r>
        <w:t xml:space="preserve">Figure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Figure \* ARABIC \s 1 </w:instrText>
      </w:r>
      <w:r>
        <w:fldChar w:fldCharType="separate"/>
      </w:r>
      <w:r>
        <w:rPr>
          <w:noProof/>
        </w:rPr>
        <w:t>10</w:t>
      </w:r>
      <w:r>
        <w:fldChar w:fldCharType="end"/>
      </w:r>
      <w:r>
        <w:t>: Washing machines  – capacity of available models</w:t>
      </w:r>
      <w:bookmarkEnd w:id="202"/>
      <w:r>
        <w:t xml:space="preserve"> by star</w:t>
      </w:r>
      <w:r>
        <w:t xml:space="preserve"> rating</w:t>
      </w:r>
      <w:bookmarkEnd w:id="203"/>
      <w:bookmarkEnd w:id="204"/>
      <w:r>
        <w:t xml:space="preserve"> </w:t>
      </w:r>
    </w:p>
    <w:p w:rsidR="00000000" w:rsidRDefault="00D35856">
      <w:pPr>
        <w:keepNext w:val="0"/>
      </w:pPr>
      <w:r>
        <w:rPr>
          <w:noProof/>
          <w:lang w:eastAsia="en-AU"/>
        </w:rPr>
        <w:drawing>
          <wp:inline distT="0" distB="0" distL="0" distR="0">
            <wp:extent cx="5433060" cy="2232660"/>
            <wp:effectExtent l="0" t="0" r="0" b="0"/>
            <wp:docPr id="33" name="Picture 33" descr="Fig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igure 4-10"/>
                    <pic:cNvPicPr>
                      <a:picLocks noChangeAspect="1" noChangeArrowheads="1"/>
                    </pic:cNvPicPr>
                  </pic:nvPicPr>
                  <pic:blipFill>
                    <a:blip r:embed="rId46"/>
                    <a:srcRect/>
                    <a:stretch>
                      <a:fillRect/>
                    </a:stretch>
                  </pic:blipFill>
                  <pic:spPr bwMode="auto">
                    <a:xfrm>
                      <a:off x="0" y="0"/>
                      <a:ext cx="5433060" cy="2232660"/>
                    </a:xfrm>
                    <a:prstGeom prst="rect">
                      <a:avLst/>
                    </a:prstGeom>
                    <a:noFill/>
                    <a:ln w="9525">
                      <a:noFill/>
                      <a:miter lim="800000"/>
                      <a:headEnd/>
                      <a:tailEnd/>
                    </a:ln>
                  </pic:spPr>
                </pic:pic>
              </a:graphicData>
            </a:graphic>
          </wp:inline>
        </w:drawing>
      </w:r>
    </w:p>
    <w:p w:rsidR="00000000" w:rsidRDefault="00D35856">
      <w:pPr>
        <w:keepNext w:val="0"/>
      </w:pPr>
    </w:p>
    <w:p w:rsidR="00000000" w:rsidRDefault="00D35856">
      <w:pPr>
        <w:pStyle w:val="Caption"/>
        <w:keepNext w:val="0"/>
      </w:pPr>
      <w:bookmarkStart w:id="206" w:name="_Toc191475277"/>
      <w:bookmarkStart w:id="207" w:name="_Toc199933840"/>
      <w:r>
        <w:t xml:space="preserve">Figure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Figure \* ARABIC \s 1 </w:instrText>
      </w:r>
      <w:r>
        <w:fldChar w:fldCharType="separate"/>
      </w:r>
      <w:r>
        <w:rPr>
          <w:noProof/>
        </w:rPr>
        <w:t>11</w:t>
      </w:r>
      <w:r>
        <w:fldChar w:fldCharType="end"/>
      </w:r>
      <w:r>
        <w:t>: Washing machines  –</w:t>
      </w:r>
      <w:r>
        <w:t xml:space="preserve"> capacity of available models by price</w:t>
      </w:r>
      <w:bookmarkEnd w:id="206"/>
      <w:bookmarkEnd w:id="207"/>
      <w:r>
        <w:t xml:space="preserve"> </w:t>
      </w:r>
    </w:p>
    <w:p w:rsidR="00000000" w:rsidRDefault="00D35856">
      <w:pPr>
        <w:keepNext w:val="0"/>
        <w:jc w:val="center"/>
      </w:pPr>
      <w:r>
        <w:rPr>
          <w:noProof/>
          <w:lang w:eastAsia="en-AU"/>
        </w:rPr>
        <w:drawing>
          <wp:inline distT="0" distB="0" distL="0" distR="0">
            <wp:extent cx="3589020" cy="2644140"/>
            <wp:effectExtent l="0" t="0" r="0" b="0"/>
            <wp:docPr id="34" name="Picture 34" descr="Fig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igure 4-11"/>
                    <pic:cNvPicPr>
                      <a:picLocks noChangeAspect="1" noChangeArrowheads="1"/>
                    </pic:cNvPicPr>
                  </pic:nvPicPr>
                  <pic:blipFill>
                    <a:blip r:embed="rId47"/>
                    <a:srcRect/>
                    <a:stretch>
                      <a:fillRect/>
                    </a:stretch>
                  </pic:blipFill>
                  <pic:spPr bwMode="auto">
                    <a:xfrm>
                      <a:off x="0" y="0"/>
                      <a:ext cx="3589020" cy="2644140"/>
                    </a:xfrm>
                    <a:prstGeom prst="rect">
                      <a:avLst/>
                    </a:prstGeom>
                    <a:noFill/>
                    <a:ln w="9525">
                      <a:noFill/>
                      <a:miter lim="800000"/>
                      <a:headEnd/>
                      <a:tailEnd/>
                    </a:ln>
                  </pic:spPr>
                </pic:pic>
              </a:graphicData>
            </a:graphic>
          </wp:inline>
        </w:drawing>
      </w:r>
    </w:p>
    <w:p w:rsidR="00000000" w:rsidRDefault="00D35856">
      <w:pPr>
        <w:pStyle w:val="Caption"/>
        <w:keepNext w:val="0"/>
        <w:pageBreakBefore/>
      </w:pPr>
      <w:bookmarkStart w:id="208" w:name="_Ref191115867"/>
      <w:bookmarkStart w:id="209" w:name="_Toc191475278"/>
      <w:bookmarkStart w:id="210" w:name="_Toc199933841"/>
      <w:r>
        <w:lastRenderedPageBreak/>
        <w:t xml:space="preserve">Figure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Figure \* ARABIC \s 1 </w:instrText>
      </w:r>
      <w:r>
        <w:fldChar w:fldCharType="separate"/>
      </w:r>
      <w:r>
        <w:rPr>
          <w:noProof/>
        </w:rPr>
        <w:t>12</w:t>
      </w:r>
      <w:r>
        <w:fldChar w:fldCharType="end"/>
      </w:r>
      <w:bookmarkEnd w:id="208"/>
      <w:r>
        <w:t>: Washing machines  – historical trends in average prices of models sold</w:t>
      </w:r>
      <w:bookmarkEnd w:id="209"/>
      <w:bookmarkEnd w:id="210"/>
    </w:p>
    <w:p w:rsidR="00000000" w:rsidRDefault="00D35856">
      <w:pPr>
        <w:keepNext w:val="0"/>
        <w:jc w:val="center"/>
      </w:pPr>
      <w:r>
        <w:rPr>
          <w:noProof/>
          <w:lang w:eastAsia="en-AU"/>
        </w:rPr>
        <w:drawing>
          <wp:inline distT="0" distB="0" distL="0" distR="0">
            <wp:extent cx="3002280" cy="2171700"/>
            <wp:effectExtent l="19050" t="0" r="7620" b="0"/>
            <wp:docPr id="35" name="Picture 35" descr="Fig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igure 4-12"/>
                    <pic:cNvPicPr>
                      <a:picLocks noChangeAspect="1" noChangeArrowheads="1"/>
                    </pic:cNvPicPr>
                  </pic:nvPicPr>
                  <pic:blipFill>
                    <a:blip r:embed="rId48"/>
                    <a:srcRect l="2792" t="8592" r="2127" b="3156"/>
                    <a:stretch>
                      <a:fillRect/>
                    </a:stretch>
                  </pic:blipFill>
                  <pic:spPr bwMode="auto">
                    <a:xfrm>
                      <a:off x="0" y="0"/>
                      <a:ext cx="3002280" cy="2171700"/>
                    </a:xfrm>
                    <a:prstGeom prst="rect">
                      <a:avLst/>
                    </a:prstGeom>
                    <a:noFill/>
                    <a:ln w="9525">
                      <a:noFill/>
                      <a:miter lim="800000"/>
                      <a:headEnd/>
                      <a:tailEnd/>
                    </a:ln>
                  </pic:spPr>
                </pic:pic>
              </a:graphicData>
            </a:graphic>
          </wp:inline>
        </w:drawing>
      </w:r>
    </w:p>
    <w:p w:rsidR="00000000" w:rsidRDefault="00D35856">
      <w:pPr>
        <w:pStyle w:val="Caption"/>
        <w:keepNext w:val="0"/>
      </w:pPr>
      <w:bookmarkStart w:id="211" w:name="_Ref191117854"/>
      <w:bookmarkStart w:id="212" w:name="_Toc191475279"/>
      <w:bookmarkStart w:id="213" w:name="_Toc199933842"/>
      <w:r>
        <w:t xml:space="preserve">Figure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Figur</w:instrText>
      </w:r>
      <w:r>
        <w:instrText xml:space="preserve">e \* ARABIC \s 1 </w:instrText>
      </w:r>
      <w:r>
        <w:fldChar w:fldCharType="separate"/>
      </w:r>
      <w:r>
        <w:rPr>
          <w:noProof/>
        </w:rPr>
        <w:t>13</w:t>
      </w:r>
      <w:r>
        <w:fldChar w:fldCharType="end"/>
      </w:r>
      <w:bookmarkEnd w:id="211"/>
      <w:r>
        <w:t>: Washing machines  – trends in proportion of top-loaders and front-loaders sold</w:t>
      </w:r>
      <w:bookmarkEnd w:id="212"/>
      <w:bookmarkEnd w:id="213"/>
    </w:p>
    <w:p w:rsidR="00000000" w:rsidRDefault="00D35856">
      <w:pPr>
        <w:keepNext w:val="0"/>
        <w:jc w:val="center"/>
      </w:pPr>
      <w:r>
        <w:rPr>
          <w:noProof/>
          <w:lang w:eastAsia="en-AU"/>
        </w:rPr>
        <w:drawing>
          <wp:inline distT="0" distB="0" distL="0" distR="0">
            <wp:extent cx="3489960" cy="1981200"/>
            <wp:effectExtent l="0" t="0" r="0" b="0"/>
            <wp:docPr id="36" name="Picture 36" descr="Fig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igure 4-13"/>
                    <pic:cNvPicPr>
                      <a:picLocks noChangeAspect="1" noChangeArrowheads="1"/>
                    </pic:cNvPicPr>
                  </pic:nvPicPr>
                  <pic:blipFill>
                    <a:blip r:embed="rId49"/>
                    <a:srcRect/>
                    <a:stretch>
                      <a:fillRect/>
                    </a:stretch>
                  </pic:blipFill>
                  <pic:spPr bwMode="auto">
                    <a:xfrm>
                      <a:off x="0" y="0"/>
                      <a:ext cx="3489960" cy="1981200"/>
                    </a:xfrm>
                    <a:prstGeom prst="rect">
                      <a:avLst/>
                    </a:prstGeom>
                    <a:noFill/>
                    <a:ln w="9525">
                      <a:noFill/>
                      <a:miter lim="800000"/>
                      <a:headEnd/>
                      <a:tailEnd/>
                    </a:ln>
                  </pic:spPr>
                </pic:pic>
              </a:graphicData>
            </a:graphic>
          </wp:inline>
        </w:drawing>
      </w:r>
    </w:p>
    <w:tbl>
      <w:tblPr>
        <w:tblStyle w:val="TableGrid"/>
        <w:tblW w:w="0" w:type="auto"/>
        <w:tblLook w:val="01E0"/>
      </w:tblPr>
      <w:tblGrid>
        <w:gridCol w:w="8714"/>
      </w:tblGrid>
      <w:tr w:rsidR="00000000">
        <w:tc>
          <w:tcPr>
            <w:tcW w:w="8714" w:type="dxa"/>
          </w:tcPr>
          <w:p w:rsidR="00000000" w:rsidRDefault="00D35856">
            <w:pPr>
              <w:keepNext w:val="0"/>
              <w:widowControl w:val="0"/>
              <w:rPr>
                <w:rFonts w:ascii="Arial" w:hAnsi="Arial" w:cs="Arial"/>
                <w:b/>
                <w:szCs w:val="19"/>
              </w:rPr>
            </w:pPr>
            <w:r>
              <w:rPr>
                <w:rFonts w:ascii="Arial" w:hAnsi="Arial" w:cs="Arial"/>
                <w:b/>
                <w:szCs w:val="19"/>
              </w:rPr>
              <w:t>Parameter sensitivity: price premi</w:t>
            </w:r>
            <w:r>
              <w:rPr>
                <w:rFonts w:ascii="Arial" w:hAnsi="Arial" w:cs="Arial"/>
                <w:b/>
                <w:szCs w:val="19"/>
              </w:rPr>
              <w:t>ums for clothes washing machines</w:t>
            </w:r>
          </w:p>
          <w:p w:rsidR="00000000" w:rsidRDefault="00D35856">
            <w:pPr>
              <w:keepNext w:val="0"/>
              <w:rPr>
                <w:rFonts w:ascii="Arial" w:hAnsi="Arial" w:cs="Arial"/>
                <w:szCs w:val="19"/>
              </w:rPr>
            </w:pPr>
            <w:r>
              <w:rPr>
                <w:rFonts w:ascii="Arial" w:hAnsi="Arial" w:cs="Arial"/>
                <w:szCs w:val="19"/>
              </w:rPr>
              <w:t xml:space="preserve">In the 2004 RIS for </w:t>
            </w:r>
            <w:smartTag w:uri="urn:schemas-microsoft-com:office:smarttags" w:element="City">
              <w:r>
                <w:rPr>
                  <w:rFonts w:ascii="Arial" w:hAnsi="Arial" w:cs="Arial"/>
                  <w:szCs w:val="19"/>
                </w:rPr>
                <w:t>WELS</w:t>
              </w:r>
            </w:smartTag>
            <w:r>
              <w:rPr>
                <w:rFonts w:ascii="Arial" w:hAnsi="Arial" w:cs="Arial"/>
                <w:szCs w:val="19"/>
              </w:rPr>
              <w:t>, the largest cost component was calculated to be those costs associated with product premiums ($106.1million NPV, at 10% discount rate). Clothes washing machines accounted for the largest pr</w:t>
            </w:r>
            <w:r>
              <w:rPr>
                <w:rFonts w:ascii="Arial" w:hAnsi="Arial" w:cs="Arial"/>
                <w:szCs w:val="19"/>
              </w:rPr>
              <w:t xml:space="preserve">oportion of costs due to price premiums ($70.6 million, at 10% discount rate). The price premium cost estimates for washing machines alone are substantial and, if included in the overall analysis of the costs of </w:t>
            </w:r>
            <w:smartTag w:uri="urn:schemas-microsoft-com:office:smarttags" w:element="City">
              <w:r>
                <w:rPr>
                  <w:rFonts w:ascii="Arial" w:hAnsi="Arial" w:cs="Arial"/>
                  <w:szCs w:val="19"/>
                </w:rPr>
                <w:t>WELS</w:t>
              </w:r>
            </w:smartTag>
            <w:r>
              <w:rPr>
                <w:rFonts w:ascii="Arial" w:hAnsi="Arial" w:cs="Arial"/>
                <w:szCs w:val="19"/>
              </w:rPr>
              <w:t xml:space="preserve">, would have significant effect </w:t>
            </w:r>
            <w:r>
              <w:rPr>
                <w:rFonts w:ascii="Arial" w:hAnsi="Arial" w:cs="Arial"/>
                <w:szCs w:val="19"/>
              </w:rPr>
              <w:t>on its cost and would have a significant effect on overall cost-effectiveness – increasing the levelised cost per kilolitre by a factor of two to three.</w:t>
            </w:r>
          </w:p>
          <w:p w:rsidR="00000000" w:rsidRDefault="00D35856">
            <w:pPr>
              <w:keepNext w:val="0"/>
              <w:rPr>
                <w:rFonts w:ascii="Arial" w:hAnsi="Arial" w:cs="Arial"/>
                <w:szCs w:val="19"/>
              </w:rPr>
            </w:pPr>
            <w:r>
              <w:rPr>
                <w:rFonts w:ascii="Arial" w:hAnsi="Arial" w:cs="Arial"/>
                <w:szCs w:val="19"/>
              </w:rPr>
              <w:t xml:space="preserve">The price differential for clothes washing machines used in the RIS ($0 in 2005 rising to $15 in 2010) </w:t>
            </w:r>
            <w:r>
              <w:rPr>
                <w:rFonts w:ascii="Arial" w:hAnsi="Arial" w:cs="Arial"/>
                <w:szCs w:val="19"/>
              </w:rPr>
              <w:t>was based on the reasoning that that front-loaders, which are all imported, have smaller market share (particularly sales per model) and will thus carry an inherent price premium. A conservative approach was taken in assuming that the front loader share of</w:t>
            </w:r>
            <w:r>
              <w:rPr>
                <w:rFonts w:ascii="Arial" w:hAnsi="Arial" w:cs="Arial"/>
                <w:szCs w:val="19"/>
              </w:rPr>
              <w:t xml:space="preserve"> the clothes washer market would not rise to more than 30%, from around 15% in 2002.</w:t>
            </w:r>
          </w:p>
          <w:p w:rsidR="00000000" w:rsidRDefault="00D35856">
            <w:pPr>
              <w:keepNext w:val="0"/>
              <w:rPr>
                <w:rFonts w:ascii="Arial" w:hAnsi="Arial" w:cs="Arial"/>
                <w:szCs w:val="19"/>
              </w:rPr>
            </w:pPr>
            <w:r>
              <w:rPr>
                <w:rFonts w:ascii="Arial" w:hAnsi="Arial" w:cs="Arial"/>
                <w:szCs w:val="19"/>
              </w:rPr>
              <w:t xml:space="preserve">However, the RIS acknowledged that </w:t>
            </w:r>
            <w:smartTag w:uri="urn:schemas-microsoft-com:office:smarttags" w:element="City">
              <w:r>
                <w:rPr>
                  <w:rFonts w:ascii="Arial" w:hAnsi="Arial" w:cs="Arial"/>
                  <w:szCs w:val="19"/>
                </w:rPr>
                <w:t>WELS</w:t>
              </w:r>
            </w:smartTag>
            <w:r>
              <w:rPr>
                <w:rFonts w:ascii="Arial" w:hAnsi="Arial" w:cs="Arial"/>
                <w:szCs w:val="19"/>
              </w:rPr>
              <w:t xml:space="preserve"> may drive demand towards front-loaders and result in closing the price premium gap. More recent sales data has indicated th</w:t>
            </w:r>
            <w:r>
              <w:rPr>
                <w:rFonts w:ascii="Arial" w:hAnsi="Arial" w:cs="Arial"/>
                <w:szCs w:val="19"/>
              </w:rPr>
              <w:t xml:space="preserve">at this is the case. </w:t>
            </w:r>
            <w:fldSimple w:instr=" REF _Ref191115867 \h  \* MERGEFORMAT ">
              <w:r>
                <w:rPr>
                  <w:rFonts w:ascii="Arial" w:hAnsi="Arial" w:cs="Arial"/>
                  <w:szCs w:val="19"/>
                </w:rPr>
                <w:t xml:space="preserve">Figure </w:t>
              </w:r>
              <w:r>
                <w:rPr>
                  <w:rFonts w:ascii="Arial" w:hAnsi="Arial" w:cs="Arial"/>
                  <w:noProof/>
                  <w:szCs w:val="19"/>
                </w:rPr>
                <w:t>4</w:t>
              </w:r>
              <w:r>
                <w:rPr>
                  <w:rFonts w:ascii="Arial" w:hAnsi="Arial" w:cs="Arial"/>
                  <w:noProof/>
                  <w:szCs w:val="19"/>
                </w:rPr>
                <w:noBreakHyphen/>
                <w:t>12</w:t>
              </w:r>
            </w:fldSimple>
            <w:r>
              <w:rPr>
                <w:rFonts w:ascii="Arial" w:hAnsi="Arial" w:cs="Arial"/>
                <w:szCs w:val="19"/>
              </w:rPr>
              <w:t xml:space="preserve"> shows a narrowing price gap between front- and top-loaders. Although in 2006 the</w:t>
            </w:r>
            <w:r>
              <w:rPr>
                <w:rFonts w:ascii="Arial" w:hAnsi="Arial" w:cs="Arial"/>
                <w:szCs w:val="19"/>
              </w:rPr>
              <w:t xml:space="preserve"> number of sales per model in 2006 for front-loaders remains at around half that of top-loaders, </w:t>
            </w:r>
            <w:fldSimple w:instr=" REF _Ref191117854 \h  \* MERGEFORMAT ">
              <w:r>
                <w:rPr>
                  <w:rFonts w:ascii="Arial" w:hAnsi="Arial" w:cs="Arial"/>
                  <w:szCs w:val="19"/>
                </w:rPr>
                <w:t xml:space="preserve">Figure </w:t>
              </w:r>
              <w:r>
                <w:rPr>
                  <w:rFonts w:ascii="Arial" w:hAnsi="Arial" w:cs="Arial"/>
                  <w:noProof/>
                  <w:szCs w:val="19"/>
                </w:rPr>
                <w:t>4</w:t>
              </w:r>
              <w:r>
                <w:rPr>
                  <w:rFonts w:ascii="Arial" w:hAnsi="Arial" w:cs="Arial"/>
                  <w:noProof/>
                  <w:szCs w:val="19"/>
                </w:rPr>
                <w:noBreakHyphen/>
                <w:t>13</w:t>
              </w:r>
            </w:fldSimple>
            <w:r>
              <w:rPr>
                <w:rFonts w:ascii="Arial" w:hAnsi="Arial" w:cs="Arial"/>
                <w:szCs w:val="19"/>
              </w:rPr>
              <w:t xml:space="preserve"> illustrates a growing s</w:t>
            </w:r>
            <w:r>
              <w:rPr>
                <w:rFonts w:ascii="Arial" w:hAnsi="Arial" w:cs="Arial"/>
                <w:szCs w:val="19"/>
              </w:rPr>
              <w:t>hare of front-load</w:t>
            </w:r>
            <w:r>
              <w:rPr>
                <w:rFonts w:ascii="Arial" w:hAnsi="Arial" w:cs="Arial"/>
                <w:szCs w:val="19"/>
              </w:rPr>
              <w:t>er sales (to around 40% in 2006) and declining proportion of top-loader sales (to less than 60% in 2006).</w:t>
            </w:r>
          </w:p>
          <w:p w:rsidR="00000000" w:rsidRDefault="00D35856">
            <w:pPr>
              <w:keepNext w:val="0"/>
              <w:rPr>
                <w:rFonts w:ascii="Arial" w:hAnsi="Arial" w:cs="Arial"/>
                <w:szCs w:val="19"/>
              </w:rPr>
            </w:pPr>
            <w:r>
              <w:rPr>
                <w:rFonts w:ascii="Arial" w:hAnsi="Arial" w:cs="Arial"/>
                <w:szCs w:val="19"/>
              </w:rPr>
              <w:t>Other reasons for negligible and short-term price premiums are discussed in section 4.5.2. Nevertheless, some price premium could have occurred at the</w:t>
            </w:r>
            <w:r>
              <w:rPr>
                <w:rFonts w:ascii="Arial" w:hAnsi="Arial" w:cs="Arial"/>
                <w:szCs w:val="19"/>
              </w:rPr>
              <w:t xml:space="preserve"> commencement of </w:t>
            </w:r>
            <w:smartTag w:uri="urn:schemas-microsoft-com:office:smarttags" w:element="City">
              <w:r>
                <w:rPr>
                  <w:rFonts w:ascii="Arial" w:hAnsi="Arial" w:cs="Arial"/>
                  <w:szCs w:val="19"/>
                </w:rPr>
                <w:t>WELS</w:t>
              </w:r>
            </w:smartTag>
            <w:r>
              <w:rPr>
                <w:rFonts w:ascii="Arial" w:hAnsi="Arial" w:cs="Arial"/>
                <w:szCs w:val="19"/>
              </w:rPr>
              <w:t>, decreasing over time as suppliers respond to demand. If there was an average $10 per unit sold price premium due to WELS in 2006-07, declining to $0 two years later in 2008-09, the NPV of the price premium would be $11million</w:t>
            </w:r>
            <w:r>
              <w:rPr>
                <w:rFonts w:ascii="Arial" w:hAnsi="Arial" w:cs="Arial"/>
                <w:szCs w:val="19"/>
              </w:rPr>
              <w:t xml:space="preserve"> (1.6% discount rate) to $12.2 million (10% discount rate).</w:t>
            </w:r>
          </w:p>
        </w:tc>
      </w:tr>
    </w:tbl>
    <w:p w:rsidR="00000000" w:rsidRDefault="00D35856">
      <w:pPr>
        <w:keepNext w:val="0"/>
      </w:pPr>
    </w:p>
    <w:p w:rsidR="00000000" w:rsidRDefault="00D35856">
      <w:pPr>
        <w:pStyle w:val="Heading2"/>
        <w:numPr>
          <w:ilvl w:val="1"/>
          <w:numId w:val="3"/>
        </w:numPr>
        <w:tabs>
          <w:tab w:val="clear" w:pos="1296"/>
        </w:tabs>
        <w:ind w:left="567" w:hanging="567"/>
        <w:rPr>
          <w:color w:val="auto"/>
        </w:rPr>
      </w:pPr>
      <w:bookmarkStart w:id="214" w:name="_Ref195498473"/>
      <w:bookmarkStart w:id="215" w:name="_Toc199933759"/>
      <w:bookmarkEnd w:id="205"/>
      <w:r>
        <w:rPr>
          <w:color w:val="auto"/>
        </w:rPr>
        <w:lastRenderedPageBreak/>
        <w:t>Avoided water costs - Consumers</w:t>
      </w:r>
      <w:bookmarkEnd w:id="214"/>
      <w:bookmarkEnd w:id="215"/>
    </w:p>
    <w:p w:rsidR="00000000" w:rsidRDefault="00D35856">
      <w:pPr>
        <w:keepNext w:val="0"/>
        <w:widowControl w:val="0"/>
      </w:pPr>
      <w:r>
        <w:t xml:space="preserve">The water savings associated with </w:t>
      </w:r>
      <w:smartTag w:uri="urn:schemas-microsoft-com:office:smarttags" w:element="City">
        <w:r>
          <w:t>WELS</w:t>
        </w:r>
      </w:smartTag>
      <w:r>
        <w:t xml:space="preserve"> result in potentially substantial benefit for </w:t>
      </w:r>
      <w:r>
        <w:t>customers, through reduced water bills. The total magnitude of these bill savings that will be achieved in the future depend on estimates of water savings (see chapter 3) and projections about the marginal price of water.</w:t>
      </w:r>
    </w:p>
    <w:p w:rsidR="00000000" w:rsidRDefault="00D35856">
      <w:pPr>
        <w:keepNext w:val="0"/>
        <w:widowControl w:val="0"/>
      </w:pPr>
      <w:r>
        <w:t xml:space="preserve">The </w:t>
      </w:r>
      <w:r>
        <w:rPr>
          <w:i/>
        </w:rPr>
        <w:t>National Performan</w:t>
      </w:r>
      <w:r>
        <w:rPr>
          <w:i/>
        </w:rPr>
        <w:t xml:space="preserve">ce Report 2005-06: Major Urban Water Utilities </w:t>
      </w:r>
      <w:r>
        <w:t xml:space="preserve">(NWC and WSAA 2007) provides data on retail tariffs across </w:t>
      </w:r>
      <w:smartTag w:uri="urn:schemas-microsoft-com:office:smarttags" w:element="City">
        <w:r>
          <w:t>Australia</w:t>
        </w:r>
      </w:smartTag>
      <w:r>
        <w:t xml:space="preserve"> as at June 2006. The consumption-weighted average residential tariff from these major urban water utilities is $1.08/kL (see Appendi</w:t>
      </w:r>
      <w:r>
        <w:t>x X). Although this average price does not reflect non-residential tariffs, as the majority of water used by WELS-related products is used by residential properties, this figure has been used as the basis for water price projections in the future.</w:t>
      </w:r>
    </w:p>
    <w:p w:rsidR="00000000" w:rsidRDefault="00D35856">
      <w:pPr>
        <w:keepNext w:val="0"/>
        <w:widowControl w:val="0"/>
      </w:pPr>
      <w:r>
        <w:t>Across m</w:t>
      </w:r>
      <w:r>
        <w:t xml:space="preserve">any Australian states and territories, implementation of large-scale water supply infrastructure is likely to result in greater price increases in the future than experienced in the recent past. For example, price increases in metropolitan </w:t>
      </w:r>
      <w:smartTag w:uri="urn:schemas-microsoft-com:office:smarttags" w:element="City">
        <w:r>
          <w:t>Melbourn</w:t>
        </w:r>
        <w:r>
          <w:t>e</w:t>
        </w:r>
      </w:smartTag>
      <w:r>
        <w:t xml:space="preserve"> have been around 4% per year for the last three years, but real prices will increase by 14.8% in July 2008. Although it is unlikely that the current rate of proposed infrastructure development (and hence price increases) will be sustained over the period</w:t>
      </w:r>
      <w:r>
        <w:t xml:space="preserve"> of analysis of this study, the level and pathway of future water price increases across </w:t>
      </w:r>
      <w:smartTag w:uri="urn:schemas-microsoft-com:office:smarttags" w:element="City">
        <w:r>
          <w:t>Australia</w:t>
        </w:r>
      </w:smartTag>
      <w:r>
        <w:t xml:space="preserve"> is uncertain. </w:t>
      </w:r>
    </w:p>
    <w:p w:rsidR="00000000" w:rsidRDefault="00D35856">
      <w:pPr>
        <w:keepNext w:val="0"/>
        <w:widowControl w:val="0"/>
      </w:pPr>
      <w:r>
        <w:t>In this study, a range of annual real growth rates of tariffs (marginal price per kL) from 0%, 5% and 10% were used to analyse the pot</w:t>
      </w:r>
      <w:r>
        <w:t xml:space="preserve">ential bill savings that could be achieved by </w:t>
      </w:r>
      <w:smartTag w:uri="urn:schemas-microsoft-com:office:smarttags" w:element="City">
        <w:r>
          <w:t>WELS</w:t>
        </w:r>
      </w:smartTag>
      <w:r>
        <w:t xml:space="preserve">. As illustrated in </w:t>
      </w:r>
      <w:r>
        <w:fldChar w:fldCharType="begin"/>
      </w:r>
      <w:r>
        <w:instrText xml:space="preserve"> REF _Ref195515553 \h </w:instrText>
      </w:r>
      <w:r>
        <w:fldChar w:fldCharType="separate"/>
      </w:r>
      <w:r>
        <w:t xml:space="preserve">Figure </w:t>
      </w:r>
      <w:r>
        <w:rPr>
          <w:noProof/>
        </w:rPr>
        <w:t>4</w:t>
      </w:r>
      <w:r>
        <w:noBreakHyphen/>
      </w:r>
      <w:r>
        <w:rPr>
          <w:noProof/>
        </w:rPr>
        <w:t>14</w:t>
      </w:r>
      <w:r>
        <w:fldChar w:fldCharType="end"/>
      </w:r>
      <w:r>
        <w:t>, at a discount rate of 7%, the NPV of bill savings is between $400 million an</w:t>
      </w:r>
      <w:r>
        <w:t>d $1 billion, depending on water prices.</w:t>
      </w:r>
    </w:p>
    <w:p w:rsidR="00000000" w:rsidRDefault="00D35856">
      <w:pPr>
        <w:pStyle w:val="Caption"/>
        <w:keepNext w:val="0"/>
      </w:pPr>
      <w:bookmarkStart w:id="216" w:name="_Ref195515553"/>
      <w:bookmarkStart w:id="217" w:name="_Toc191475280"/>
      <w:bookmarkStart w:id="218" w:name="_Toc199933843"/>
      <w:r>
        <w:t xml:space="preserve">Figure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Figure \* ARABIC \s 1 </w:instrText>
      </w:r>
      <w:r>
        <w:fldChar w:fldCharType="separate"/>
      </w:r>
      <w:r>
        <w:rPr>
          <w:noProof/>
        </w:rPr>
        <w:t>14</w:t>
      </w:r>
      <w:r>
        <w:fldChar w:fldCharType="end"/>
      </w:r>
      <w:bookmarkEnd w:id="216"/>
      <w:r>
        <w:t xml:space="preserve">: NPV of avoided water costs (consumers’ bills) due to </w:t>
      </w:r>
      <w:smartTag w:uri="urn:schemas-microsoft-com:office:smarttags" w:element="City">
        <w:r>
          <w:t>WELS</w:t>
        </w:r>
      </w:smartTag>
      <w:bookmarkEnd w:id="217"/>
      <w:bookmarkEnd w:id="218"/>
    </w:p>
    <w:p w:rsidR="00000000" w:rsidRDefault="00D35856">
      <w:pPr>
        <w:keepNext w:val="0"/>
        <w:widowControl w:val="0"/>
        <w:jc w:val="center"/>
      </w:pPr>
      <w:r>
        <w:rPr>
          <w:noProof/>
          <w:lang w:eastAsia="en-AU"/>
        </w:rPr>
        <w:drawing>
          <wp:inline distT="0" distB="0" distL="0" distR="0">
            <wp:extent cx="3977640" cy="2758440"/>
            <wp:effectExtent l="19050" t="0" r="3810" b="0"/>
            <wp:docPr id="37" name="Picture 37" descr="Fig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igure 4-14"/>
                    <pic:cNvPicPr>
                      <a:picLocks noChangeAspect="1" noChangeArrowheads="1"/>
                    </pic:cNvPicPr>
                  </pic:nvPicPr>
                  <pic:blipFill>
                    <a:blip r:embed="rId50"/>
                    <a:srcRect/>
                    <a:stretch>
                      <a:fillRect/>
                    </a:stretch>
                  </pic:blipFill>
                  <pic:spPr bwMode="auto">
                    <a:xfrm>
                      <a:off x="0" y="0"/>
                      <a:ext cx="3977640" cy="2758440"/>
                    </a:xfrm>
                    <a:prstGeom prst="rect">
                      <a:avLst/>
                    </a:prstGeom>
                    <a:noFill/>
                    <a:ln w="9525">
                      <a:noFill/>
                      <a:miter lim="800000"/>
                      <a:headEnd/>
                      <a:tailEnd/>
                    </a:ln>
                  </pic:spPr>
                </pic:pic>
              </a:graphicData>
            </a:graphic>
          </wp:inline>
        </w:drawing>
      </w:r>
    </w:p>
    <w:p w:rsidR="00000000" w:rsidRDefault="00D35856">
      <w:pPr>
        <w:pStyle w:val="Heading2"/>
        <w:pageBreakBefore/>
        <w:numPr>
          <w:ilvl w:val="1"/>
          <w:numId w:val="3"/>
        </w:numPr>
        <w:tabs>
          <w:tab w:val="clear" w:pos="1296"/>
        </w:tabs>
        <w:ind w:left="567" w:hanging="567"/>
        <w:rPr>
          <w:color w:val="auto"/>
        </w:rPr>
      </w:pPr>
      <w:bookmarkStart w:id="219" w:name="_Toc199933760"/>
      <w:r>
        <w:rPr>
          <w:color w:val="auto"/>
        </w:rPr>
        <w:lastRenderedPageBreak/>
        <w:t>Avoided Energy costs</w:t>
      </w:r>
      <w:bookmarkEnd w:id="219"/>
    </w:p>
    <w:p w:rsidR="00000000" w:rsidRDefault="00D35856">
      <w:pPr>
        <w:pStyle w:val="Heading3"/>
        <w:keepNext w:val="0"/>
        <w:numPr>
          <w:ilvl w:val="2"/>
          <w:numId w:val="3"/>
        </w:numPr>
        <w:tabs>
          <w:tab w:val="clear" w:pos="1440"/>
        </w:tabs>
        <w:ind w:left="851" w:hanging="851"/>
        <w:rPr>
          <w:color w:val="auto"/>
        </w:rPr>
      </w:pPr>
      <w:bookmarkStart w:id="220" w:name="_Toc199933761"/>
      <w:r>
        <w:rPr>
          <w:color w:val="auto"/>
        </w:rPr>
        <w:t>Energy Savings</w:t>
      </w:r>
      <w:bookmarkEnd w:id="220"/>
    </w:p>
    <w:p w:rsidR="00000000" w:rsidRDefault="00D35856">
      <w:pPr>
        <w:keepNext w:val="0"/>
        <w:widowControl w:val="0"/>
      </w:pPr>
      <w:r>
        <w:t xml:space="preserve">By reducing overall water usage, </w:t>
      </w:r>
      <w:smartTag w:uri="urn:schemas-microsoft-com:office:smarttags" w:element="City">
        <w:r>
          <w:t>WELS</w:t>
        </w:r>
      </w:smartTag>
      <w:r>
        <w:t xml:space="preserve"> also results in reduced hot water usage by</w:t>
      </w:r>
      <w:r>
        <w:t xml:space="preserve"> clothes washing machines, dishwashers, showerheads and taps. Consequently, energy consumption is reduced, which leads to avoided energy costs for consumers. For washing machines and dishwashers, there may also be a correlation between water efficiency and</w:t>
      </w:r>
      <w:r>
        <w:t xml:space="preserve"> energy efficiency of the machine itself not just that associated with heating water. However, because energy labelling is a confounding factor in the energy efficiency of electrical goods, this study focuses on analysing changes in energy consumption due </w:t>
      </w:r>
      <w:r>
        <w:t xml:space="preserve">to changes in </w:t>
      </w:r>
      <w:r>
        <w:rPr>
          <w:b/>
        </w:rPr>
        <w:t>hot water requirements</w:t>
      </w:r>
      <w:r>
        <w:t xml:space="preserve"> across all products.</w:t>
      </w:r>
    </w:p>
    <w:p w:rsidR="00000000" w:rsidRDefault="00D35856">
      <w:pPr>
        <w:keepNext w:val="0"/>
        <w:widowControl w:val="0"/>
      </w:pPr>
      <w:r>
        <w:t xml:space="preserve">Additionally, a reduction in the overall water consumption resulting from </w:t>
      </w:r>
      <w:smartTag w:uri="urn:schemas-microsoft-com:office:smarttags" w:element="City">
        <w:r>
          <w:t>WELS</w:t>
        </w:r>
      </w:smartTag>
      <w:r>
        <w:t xml:space="preserve"> implies </w:t>
      </w:r>
      <w:r>
        <w:rPr>
          <w:b/>
        </w:rPr>
        <w:t>energy savings for utilities</w:t>
      </w:r>
      <w:r>
        <w:t xml:space="preserve"> that would have otherwise been required to treat and transport water and w</w:t>
      </w:r>
      <w:r>
        <w:t xml:space="preserve">astewater through the reticulation system. </w:t>
      </w:r>
    </w:p>
    <w:p w:rsidR="00000000" w:rsidRDefault="00D35856">
      <w:pPr>
        <w:pStyle w:val="Heading4"/>
        <w:keepNext w:val="0"/>
        <w:rPr>
          <w:color w:val="auto"/>
        </w:rPr>
      </w:pPr>
      <w:r>
        <w:rPr>
          <w:color w:val="auto"/>
        </w:rPr>
        <w:t>Avoided energy use for water heating - assumptions</w:t>
      </w:r>
    </w:p>
    <w:p w:rsidR="00000000" w:rsidRDefault="00D35856">
      <w:pPr>
        <w:keepNext w:val="0"/>
        <w:widowControl w:val="0"/>
        <w:spacing w:after="0"/>
      </w:pPr>
      <w:smartTag w:uri="urn:schemas-microsoft-com:office:smarttags" w:element="City">
        <w:r>
          <w:t>WELS</w:t>
        </w:r>
      </w:smartTag>
      <w:r>
        <w:t xml:space="preserve"> on washing machines has the overall effect of reducing total water used, hot water used and hence energy used to heat water. However, because overal</w:t>
      </w:r>
      <w:r>
        <w:t>l water savings are likely to be achieved by a shift towards front-loaders, energy savings calculations have also taken into account the following differences between front- and top-loading washing machines:</w:t>
      </w:r>
    </w:p>
    <w:p w:rsidR="00000000" w:rsidRDefault="00D35856">
      <w:pPr>
        <w:pStyle w:val="Bulletpointa"/>
        <w:spacing w:before="100"/>
        <w:ind w:left="357" w:hanging="357"/>
      </w:pPr>
      <w:r>
        <w:t>Front-loaders tend to use less water, but wash</w:t>
      </w:r>
      <w:r>
        <w:t>es tend to be with warm or hot water, rather than with top-loaders, where users are more likely to select a cold cycle.</w:t>
      </w:r>
    </w:p>
    <w:p w:rsidR="00000000" w:rsidRDefault="00D35856">
      <w:pPr>
        <w:pStyle w:val="Bulletpointa"/>
      </w:pPr>
      <w:r>
        <w:t>On average, a greater proportion of water used by front-loaders is heated internally (ie. within the washing machine) rather than exte</w:t>
      </w:r>
      <w:r>
        <w:t>rnally (eg. by household water heater). Internal water heating is assumed to use peak electricity, whereas external water heating is assumed to use a mix of peak electricity, off-peak electricity and gas.</w:t>
      </w:r>
    </w:p>
    <w:p w:rsidR="00000000" w:rsidRDefault="00D35856">
      <w:pPr>
        <w:keepNext w:val="0"/>
      </w:pPr>
      <w:r>
        <w:t xml:space="preserve">Like for washing machines, </w:t>
      </w:r>
      <w:smartTag w:uri="urn:schemas-microsoft-com:office:smarttags" w:element="City">
        <w:r>
          <w:t>WELS</w:t>
        </w:r>
      </w:smartTag>
      <w:r>
        <w:t xml:space="preserve"> reduces ene</w:t>
      </w:r>
      <w:r>
        <w:t>rgy used to heat water both internally (peak electricity) and externally (peak electricity, off-peak electricity and gas) for dishwashers.</w:t>
      </w:r>
    </w:p>
    <w:p w:rsidR="00000000" w:rsidRDefault="00D35856">
      <w:pPr>
        <w:keepNext w:val="0"/>
      </w:pPr>
      <w:r>
        <w:t>For showerheads and taps, it has been assumed that on average half of the volume of water used is heated from 10 degr</w:t>
      </w:r>
      <w:r>
        <w:t xml:space="preserve">ees to 50 degrees. </w:t>
      </w:r>
    </w:p>
    <w:p w:rsidR="00000000" w:rsidRDefault="00D35856">
      <w:pPr>
        <w:pStyle w:val="Heading4"/>
        <w:keepNext w:val="0"/>
        <w:rPr>
          <w:color w:val="auto"/>
        </w:rPr>
      </w:pPr>
      <w:r>
        <w:rPr>
          <w:color w:val="auto"/>
        </w:rPr>
        <w:t>Avoided treatment and pumping energy use - assumptions</w:t>
      </w:r>
    </w:p>
    <w:p w:rsidR="00000000" w:rsidRDefault="00D35856">
      <w:pPr>
        <w:keepNext w:val="0"/>
        <w:widowControl w:val="0"/>
      </w:pPr>
      <w:r>
        <w:t>These ‘treatment and pumping’ energy savings are calculated based on a weighted average of the energy intensity of water utilities from across the country. The energy intensity of w</w:t>
      </w:r>
      <w:r>
        <w:t>ater utilities is dependent on a number of factors, in particular the distances over which water is required to be pumped between water treatment facilities, end users and wastewater treatment facilities. Variance in the degree of treatment that is impleme</w:t>
      </w:r>
      <w:r>
        <w:t xml:space="preserve">nted at water and wastewater treatment facilities across the country will also affect the energy intensity of water utilities. Energy intensity factors from around the country are shown below, including the weighted average figures in </w:t>
      </w:r>
      <w:fldSimple w:instr=" REF _Ref191471839 \h  \* MERGEFORMAT ">
        <w:r>
          <w:t xml:space="preserve">Table </w:t>
        </w:r>
        <w:r>
          <w:rPr>
            <w:noProof/>
          </w:rPr>
          <w:t>4</w:t>
        </w:r>
        <w:r>
          <w:rPr>
            <w:noProof/>
          </w:rPr>
          <w:noBreakHyphen/>
          <w:t>12</w:t>
        </w:r>
      </w:fldSimple>
      <w:r>
        <w:t>.</w:t>
      </w:r>
    </w:p>
    <w:p w:rsidR="00000000" w:rsidRDefault="00D35856">
      <w:pPr>
        <w:pStyle w:val="Caption"/>
        <w:keepNext w:val="0"/>
      </w:pPr>
      <w:bookmarkStart w:id="221" w:name="_Ref191471839"/>
      <w:bookmarkStart w:id="222" w:name="_Toc199933805"/>
      <w:r>
        <w:lastRenderedPageBreak/>
        <w:t xml:space="preserve">Table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Table \* ARABIC \s 1 </w:instrText>
      </w:r>
      <w:r>
        <w:fldChar w:fldCharType="separate"/>
      </w:r>
      <w:r>
        <w:rPr>
          <w:noProof/>
        </w:rPr>
        <w:t>12</w:t>
      </w:r>
      <w:r>
        <w:fldChar w:fldCharType="end"/>
      </w:r>
      <w:bookmarkEnd w:id="221"/>
      <w:r>
        <w:t>: Energy intensity factors</w:t>
      </w:r>
      <w:bookmarkEnd w:id="222"/>
    </w:p>
    <w:tbl>
      <w:tblPr>
        <w:tblW w:w="5000" w:type="pct"/>
        <w:tblLook w:val="0000"/>
      </w:tblPr>
      <w:tblGrid>
        <w:gridCol w:w="2715"/>
        <w:gridCol w:w="2860"/>
        <w:gridCol w:w="3139"/>
      </w:tblGrid>
      <w:tr w:rsidR="00000000">
        <w:trPr>
          <w:trHeight w:val="720"/>
        </w:trPr>
        <w:tc>
          <w:tcPr>
            <w:tcW w:w="1558" w:type="pct"/>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spacing w:after="0"/>
              <w:rPr>
                <w:rFonts w:ascii="Arial" w:hAnsi="Arial"/>
                <w:sz w:val="20"/>
                <w:lang w:val="en-US"/>
              </w:rPr>
            </w:pPr>
          </w:p>
        </w:tc>
        <w:tc>
          <w:tcPr>
            <w:tcW w:w="1641" w:type="pct"/>
            <w:tcBorders>
              <w:top w:val="single" w:sz="4" w:space="0" w:color="auto"/>
              <w:left w:val="single" w:sz="4" w:space="0" w:color="auto"/>
              <w:bottom w:val="single" w:sz="4" w:space="0" w:color="auto"/>
              <w:right w:val="single" w:sz="4" w:space="0" w:color="auto"/>
            </w:tcBorders>
            <w:shd w:val="clear" w:color="auto" w:fill="808080"/>
            <w:vAlign w:val="center"/>
          </w:tcPr>
          <w:p w:rsidR="00000000" w:rsidRDefault="00D35856">
            <w:pPr>
              <w:keepNext w:val="0"/>
              <w:spacing w:after="0"/>
              <w:jc w:val="center"/>
              <w:rPr>
                <w:rFonts w:ascii="Arial" w:hAnsi="Arial"/>
                <w:b/>
                <w:sz w:val="20"/>
                <w:lang w:val="en-US"/>
              </w:rPr>
            </w:pPr>
            <w:r>
              <w:rPr>
                <w:rFonts w:ascii="Arial" w:hAnsi="Arial"/>
                <w:b/>
                <w:sz w:val="20"/>
                <w:lang w:val="en-US"/>
              </w:rPr>
              <w:t>kWh/kL supply</w:t>
            </w:r>
          </w:p>
        </w:tc>
        <w:tc>
          <w:tcPr>
            <w:tcW w:w="1801" w:type="pct"/>
            <w:tcBorders>
              <w:top w:val="single" w:sz="4" w:space="0" w:color="auto"/>
              <w:left w:val="single" w:sz="4" w:space="0" w:color="auto"/>
              <w:bottom w:val="single" w:sz="4" w:space="0" w:color="auto"/>
              <w:right w:val="single" w:sz="4" w:space="0" w:color="auto"/>
            </w:tcBorders>
            <w:shd w:val="clear" w:color="auto" w:fill="808080"/>
            <w:vAlign w:val="center"/>
          </w:tcPr>
          <w:p w:rsidR="00000000" w:rsidRDefault="00D35856">
            <w:pPr>
              <w:keepNext w:val="0"/>
              <w:spacing w:after="0"/>
              <w:jc w:val="center"/>
              <w:rPr>
                <w:rFonts w:ascii="Arial" w:hAnsi="Arial"/>
                <w:b/>
                <w:sz w:val="20"/>
                <w:lang w:val="en-US"/>
              </w:rPr>
            </w:pPr>
            <w:r>
              <w:rPr>
                <w:rFonts w:ascii="Arial" w:hAnsi="Arial"/>
                <w:b/>
                <w:sz w:val="20"/>
                <w:lang w:val="en-US"/>
              </w:rPr>
              <w:t>kWh/kL wastewater</w:t>
            </w:r>
          </w:p>
        </w:tc>
      </w:tr>
      <w:tr w:rsidR="00000000">
        <w:trPr>
          <w:trHeight w:val="240"/>
        </w:trPr>
        <w:tc>
          <w:tcPr>
            <w:tcW w:w="1558" w:type="pct"/>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spacing w:after="0"/>
              <w:rPr>
                <w:rFonts w:ascii="Arial" w:hAnsi="Arial"/>
                <w:sz w:val="20"/>
                <w:lang w:val="en-US"/>
              </w:rPr>
            </w:pPr>
            <w:r>
              <w:rPr>
                <w:rFonts w:ascii="Arial" w:hAnsi="Arial"/>
                <w:sz w:val="20"/>
                <w:lang w:val="en-US"/>
              </w:rPr>
              <w:t>NSW</w:t>
            </w:r>
          </w:p>
        </w:tc>
        <w:tc>
          <w:tcPr>
            <w:tcW w:w="1641" w:type="pct"/>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spacing w:after="0"/>
              <w:jc w:val="center"/>
              <w:rPr>
                <w:rFonts w:ascii="Arial" w:hAnsi="Arial"/>
                <w:sz w:val="20"/>
                <w:lang w:val="en-US"/>
              </w:rPr>
            </w:pPr>
            <w:r>
              <w:rPr>
                <w:rFonts w:ascii="Arial" w:hAnsi="Arial"/>
                <w:sz w:val="20"/>
                <w:lang w:val="en-US"/>
              </w:rPr>
              <w:t>0.31</w:t>
            </w:r>
          </w:p>
        </w:tc>
        <w:tc>
          <w:tcPr>
            <w:tcW w:w="1801" w:type="pct"/>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spacing w:after="0"/>
              <w:jc w:val="center"/>
              <w:rPr>
                <w:rFonts w:ascii="Arial" w:hAnsi="Arial"/>
                <w:sz w:val="20"/>
                <w:lang w:val="en-US"/>
              </w:rPr>
            </w:pPr>
            <w:r>
              <w:rPr>
                <w:rFonts w:ascii="Arial" w:hAnsi="Arial"/>
                <w:sz w:val="20"/>
                <w:lang w:val="en-US"/>
              </w:rPr>
              <w:t>0.35</w:t>
            </w:r>
          </w:p>
        </w:tc>
      </w:tr>
      <w:tr w:rsidR="00000000">
        <w:trPr>
          <w:trHeight w:val="240"/>
        </w:trPr>
        <w:tc>
          <w:tcPr>
            <w:tcW w:w="1558" w:type="pct"/>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spacing w:after="0"/>
              <w:rPr>
                <w:rFonts w:ascii="Arial" w:hAnsi="Arial"/>
                <w:sz w:val="20"/>
                <w:lang w:val="en-US"/>
              </w:rPr>
            </w:pPr>
            <w:r>
              <w:rPr>
                <w:rFonts w:ascii="Arial" w:hAnsi="Arial"/>
                <w:sz w:val="20"/>
                <w:lang w:val="en-US"/>
              </w:rPr>
              <w:t>Vic</w:t>
            </w:r>
          </w:p>
        </w:tc>
        <w:tc>
          <w:tcPr>
            <w:tcW w:w="1641" w:type="pct"/>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spacing w:after="0"/>
              <w:jc w:val="center"/>
              <w:rPr>
                <w:rFonts w:ascii="Arial" w:hAnsi="Arial"/>
                <w:sz w:val="20"/>
                <w:lang w:val="en-US"/>
              </w:rPr>
            </w:pPr>
            <w:r>
              <w:rPr>
                <w:rFonts w:ascii="Arial" w:hAnsi="Arial"/>
                <w:sz w:val="20"/>
                <w:lang w:val="en-US"/>
              </w:rPr>
              <w:t>0.16</w:t>
            </w:r>
          </w:p>
        </w:tc>
        <w:tc>
          <w:tcPr>
            <w:tcW w:w="1801" w:type="pct"/>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spacing w:after="0"/>
              <w:jc w:val="center"/>
              <w:rPr>
                <w:rFonts w:ascii="Arial" w:hAnsi="Arial"/>
                <w:sz w:val="20"/>
                <w:lang w:val="en-US"/>
              </w:rPr>
            </w:pPr>
            <w:r>
              <w:rPr>
                <w:rFonts w:ascii="Arial" w:hAnsi="Arial"/>
                <w:sz w:val="20"/>
                <w:lang w:val="en-US"/>
              </w:rPr>
              <w:t>0.71</w:t>
            </w:r>
          </w:p>
        </w:tc>
      </w:tr>
      <w:tr w:rsidR="00000000">
        <w:trPr>
          <w:trHeight w:val="240"/>
        </w:trPr>
        <w:tc>
          <w:tcPr>
            <w:tcW w:w="1558" w:type="pct"/>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spacing w:after="0"/>
              <w:rPr>
                <w:rFonts w:ascii="Arial" w:hAnsi="Arial"/>
                <w:sz w:val="20"/>
                <w:lang w:val="en-US"/>
              </w:rPr>
            </w:pPr>
            <w:r>
              <w:rPr>
                <w:rFonts w:ascii="Arial" w:hAnsi="Arial"/>
                <w:sz w:val="20"/>
                <w:lang w:val="en-US"/>
              </w:rPr>
              <w:t>Qld</w:t>
            </w:r>
          </w:p>
        </w:tc>
        <w:tc>
          <w:tcPr>
            <w:tcW w:w="1641" w:type="pct"/>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spacing w:after="0"/>
              <w:jc w:val="center"/>
              <w:rPr>
                <w:rFonts w:ascii="Arial" w:hAnsi="Arial"/>
                <w:sz w:val="20"/>
                <w:lang w:val="en-US"/>
              </w:rPr>
            </w:pPr>
            <w:r>
              <w:rPr>
                <w:rFonts w:ascii="Arial" w:hAnsi="Arial"/>
                <w:sz w:val="20"/>
                <w:lang w:val="en-US"/>
              </w:rPr>
              <w:t>0.33</w:t>
            </w:r>
          </w:p>
        </w:tc>
        <w:tc>
          <w:tcPr>
            <w:tcW w:w="1801" w:type="pct"/>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spacing w:after="0"/>
              <w:jc w:val="center"/>
              <w:rPr>
                <w:rFonts w:ascii="Arial" w:hAnsi="Arial"/>
                <w:sz w:val="20"/>
                <w:lang w:val="en-US"/>
              </w:rPr>
            </w:pPr>
            <w:r>
              <w:rPr>
                <w:rFonts w:ascii="Arial" w:hAnsi="Arial"/>
                <w:sz w:val="20"/>
                <w:lang w:val="en-US"/>
              </w:rPr>
              <w:t>0.61</w:t>
            </w:r>
          </w:p>
        </w:tc>
      </w:tr>
      <w:tr w:rsidR="00000000">
        <w:trPr>
          <w:trHeight w:val="240"/>
        </w:trPr>
        <w:tc>
          <w:tcPr>
            <w:tcW w:w="1558" w:type="pct"/>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spacing w:after="0"/>
              <w:rPr>
                <w:rFonts w:ascii="Arial" w:hAnsi="Arial"/>
                <w:sz w:val="20"/>
                <w:lang w:val="en-US"/>
              </w:rPr>
            </w:pPr>
            <w:r>
              <w:rPr>
                <w:rFonts w:ascii="Arial" w:hAnsi="Arial"/>
                <w:sz w:val="20"/>
                <w:lang w:val="en-US"/>
              </w:rPr>
              <w:t>SA</w:t>
            </w:r>
          </w:p>
        </w:tc>
        <w:tc>
          <w:tcPr>
            <w:tcW w:w="1641" w:type="pct"/>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spacing w:after="0"/>
              <w:jc w:val="center"/>
              <w:rPr>
                <w:rFonts w:ascii="Arial" w:hAnsi="Arial"/>
                <w:sz w:val="20"/>
                <w:lang w:val="en-US"/>
              </w:rPr>
            </w:pPr>
            <w:r>
              <w:rPr>
                <w:rFonts w:ascii="Arial" w:hAnsi="Arial"/>
                <w:sz w:val="20"/>
                <w:lang w:val="en-US"/>
              </w:rPr>
              <w:t>1.16</w:t>
            </w:r>
          </w:p>
        </w:tc>
        <w:tc>
          <w:tcPr>
            <w:tcW w:w="1801" w:type="pct"/>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spacing w:after="0"/>
              <w:jc w:val="center"/>
              <w:rPr>
                <w:rFonts w:ascii="Arial" w:hAnsi="Arial"/>
                <w:sz w:val="20"/>
                <w:lang w:val="en-US"/>
              </w:rPr>
            </w:pPr>
            <w:r>
              <w:rPr>
                <w:rFonts w:ascii="Arial" w:hAnsi="Arial"/>
                <w:sz w:val="20"/>
                <w:lang w:val="en-US"/>
              </w:rPr>
              <w:t>0.43</w:t>
            </w:r>
          </w:p>
        </w:tc>
      </w:tr>
      <w:tr w:rsidR="00000000">
        <w:trPr>
          <w:trHeight w:val="240"/>
        </w:trPr>
        <w:tc>
          <w:tcPr>
            <w:tcW w:w="1558" w:type="pct"/>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spacing w:after="0"/>
              <w:rPr>
                <w:rFonts w:ascii="Arial" w:hAnsi="Arial"/>
                <w:sz w:val="20"/>
                <w:lang w:val="en-US"/>
              </w:rPr>
            </w:pPr>
            <w:r>
              <w:rPr>
                <w:rFonts w:ascii="Arial" w:hAnsi="Arial"/>
                <w:sz w:val="20"/>
                <w:lang w:val="en-US"/>
              </w:rPr>
              <w:t>WA</w:t>
            </w:r>
          </w:p>
        </w:tc>
        <w:tc>
          <w:tcPr>
            <w:tcW w:w="1641" w:type="pct"/>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spacing w:after="0"/>
              <w:jc w:val="center"/>
              <w:rPr>
                <w:rFonts w:ascii="Arial" w:hAnsi="Arial"/>
                <w:sz w:val="20"/>
                <w:lang w:val="en-US"/>
              </w:rPr>
            </w:pPr>
            <w:r>
              <w:rPr>
                <w:rFonts w:ascii="Arial" w:hAnsi="Arial"/>
                <w:sz w:val="20"/>
                <w:lang w:val="en-US"/>
              </w:rPr>
              <w:t>0.28</w:t>
            </w:r>
          </w:p>
        </w:tc>
        <w:tc>
          <w:tcPr>
            <w:tcW w:w="1801" w:type="pct"/>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spacing w:after="0"/>
              <w:jc w:val="center"/>
              <w:rPr>
                <w:rFonts w:ascii="Arial" w:hAnsi="Arial"/>
                <w:sz w:val="20"/>
                <w:lang w:val="en-US"/>
              </w:rPr>
            </w:pPr>
            <w:r>
              <w:rPr>
                <w:rFonts w:ascii="Arial" w:hAnsi="Arial"/>
                <w:sz w:val="20"/>
                <w:lang w:val="en-US"/>
              </w:rPr>
              <w:t>0.44</w:t>
            </w:r>
          </w:p>
        </w:tc>
      </w:tr>
      <w:tr w:rsidR="00000000">
        <w:trPr>
          <w:trHeight w:val="240"/>
        </w:trPr>
        <w:tc>
          <w:tcPr>
            <w:tcW w:w="1558" w:type="pct"/>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spacing w:after="0"/>
              <w:rPr>
                <w:rFonts w:ascii="Arial" w:hAnsi="Arial"/>
                <w:sz w:val="20"/>
                <w:lang w:val="en-US"/>
              </w:rPr>
            </w:pPr>
            <w:r>
              <w:rPr>
                <w:rFonts w:ascii="Arial" w:hAnsi="Arial"/>
                <w:sz w:val="20"/>
                <w:lang w:val="en-US"/>
              </w:rPr>
              <w:t>Tas</w:t>
            </w:r>
          </w:p>
        </w:tc>
        <w:tc>
          <w:tcPr>
            <w:tcW w:w="1641" w:type="pct"/>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spacing w:after="0"/>
              <w:jc w:val="center"/>
              <w:rPr>
                <w:rFonts w:ascii="Arial" w:hAnsi="Arial"/>
                <w:sz w:val="20"/>
                <w:lang w:val="en-US"/>
              </w:rPr>
            </w:pPr>
            <w:r>
              <w:rPr>
                <w:rFonts w:ascii="Arial" w:hAnsi="Arial"/>
                <w:sz w:val="20"/>
                <w:lang w:val="en-US"/>
              </w:rPr>
              <w:t>0.53</w:t>
            </w:r>
          </w:p>
        </w:tc>
        <w:tc>
          <w:tcPr>
            <w:tcW w:w="1801" w:type="pct"/>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spacing w:after="0"/>
              <w:jc w:val="center"/>
              <w:rPr>
                <w:rFonts w:ascii="Arial" w:hAnsi="Arial"/>
                <w:sz w:val="20"/>
                <w:lang w:val="en-US"/>
              </w:rPr>
            </w:pPr>
            <w:r>
              <w:rPr>
                <w:rFonts w:ascii="Arial" w:hAnsi="Arial"/>
                <w:sz w:val="20"/>
                <w:lang w:val="en-US"/>
              </w:rPr>
              <w:t>0.77</w:t>
            </w:r>
          </w:p>
        </w:tc>
      </w:tr>
      <w:tr w:rsidR="00000000">
        <w:trPr>
          <w:trHeight w:val="240"/>
        </w:trPr>
        <w:tc>
          <w:tcPr>
            <w:tcW w:w="1558" w:type="pct"/>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spacing w:after="0"/>
              <w:rPr>
                <w:rFonts w:ascii="Arial" w:hAnsi="Arial"/>
                <w:sz w:val="20"/>
                <w:lang w:val="en-US"/>
              </w:rPr>
            </w:pPr>
            <w:r>
              <w:rPr>
                <w:rFonts w:ascii="Arial" w:hAnsi="Arial"/>
                <w:sz w:val="20"/>
                <w:lang w:val="en-US"/>
              </w:rPr>
              <w:t>NT</w:t>
            </w:r>
          </w:p>
        </w:tc>
        <w:tc>
          <w:tcPr>
            <w:tcW w:w="1641" w:type="pct"/>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spacing w:after="0"/>
              <w:jc w:val="center"/>
              <w:rPr>
                <w:rFonts w:ascii="Arial" w:hAnsi="Arial"/>
                <w:sz w:val="20"/>
                <w:lang w:val="en-US"/>
              </w:rPr>
            </w:pPr>
            <w:r>
              <w:rPr>
                <w:rFonts w:ascii="Arial" w:hAnsi="Arial"/>
                <w:sz w:val="20"/>
                <w:lang w:val="en-US"/>
              </w:rPr>
              <w:t>0.27</w:t>
            </w:r>
          </w:p>
        </w:tc>
        <w:tc>
          <w:tcPr>
            <w:tcW w:w="1801" w:type="pct"/>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spacing w:after="0"/>
              <w:jc w:val="center"/>
              <w:rPr>
                <w:rFonts w:ascii="Arial" w:hAnsi="Arial"/>
                <w:sz w:val="20"/>
                <w:lang w:val="en-US"/>
              </w:rPr>
            </w:pPr>
            <w:r>
              <w:rPr>
                <w:rFonts w:ascii="Arial" w:hAnsi="Arial"/>
                <w:sz w:val="20"/>
                <w:lang w:val="en-US"/>
              </w:rPr>
              <w:t>0.19</w:t>
            </w:r>
          </w:p>
        </w:tc>
      </w:tr>
      <w:tr w:rsidR="00000000">
        <w:trPr>
          <w:trHeight w:val="260"/>
        </w:trPr>
        <w:tc>
          <w:tcPr>
            <w:tcW w:w="1558" w:type="pct"/>
            <w:tcBorders>
              <w:top w:val="single" w:sz="4" w:space="0" w:color="auto"/>
              <w:left w:val="single" w:sz="4" w:space="0" w:color="auto"/>
              <w:bottom w:val="double" w:sz="6" w:space="0" w:color="auto"/>
              <w:right w:val="single" w:sz="4" w:space="0" w:color="auto"/>
            </w:tcBorders>
            <w:noWrap/>
            <w:vAlign w:val="bottom"/>
          </w:tcPr>
          <w:p w:rsidR="00000000" w:rsidRDefault="00D35856">
            <w:pPr>
              <w:keepNext w:val="0"/>
              <w:spacing w:after="0"/>
              <w:rPr>
                <w:rFonts w:ascii="Arial" w:hAnsi="Arial"/>
                <w:sz w:val="20"/>
                <w:lang w:val="en-US"/>
              </w:rPr>
            </w:pPr>
            <w:r>
              <w:rPr>
                <w:rFonts w:ascii="Arial" w:hAnsi="Arial"/>
                <w:sz w:val="20"/>
                <w:lang w:val="en-US"/>
              </w:rPr>
              <w:t>ACT</w:t>
            </w:r>
          </w:p>
        </w:tc>
        <w:tc>
          <w:tcPr>
            <w:tcW w:w="1641" w:type="pct"/>
            <w:tcBorders>
              <w:top w:val="single" w:sz="4" w:space="0" w:color="auto"/>
              <w:left w:val="single" w:sz="4" w:space="0" w:color="auto"/>
              <w:bottom w:val="double" w:sz="6" w:space="0" w:color="auto"/>
              <w:right w:val="single" w:sz="4" w:space="0" w:color="auto"/>
            </w:tcBorders>
            <w:noWrap/>
            <w:vAlign w:val="bottom"/>
          </w:tcPr>
          <w:p w:rsidR="00000000" w:rsidRDefault="00D35856">
            <w:pPr>
              <w:keepNext w:val="0"/>
              <w:spacing w:after="0"/>
              <w:jc w:val="center"/>
              <w:rPr>
                <w:rFonts w:ascii="Arial" w:hAnsi="Arial"/>
                <w:sz w:val="20"/>
                <w:lang w:val="en-US"/>
              </w:rPr>
            </w:pPr>
            <w:r>
              <w:rPr>
                <w:rFonts w:ascii="Arial" w:hAnsi="Arial"/>
                <w:sz w:val="20"/>
                <w:lang w:val="en-US"/>
              </w:rPr>
              <w:t>0.07</w:t>
            </w:r>
          </w:p>
        </w:tc>
        <w:tc>
          <w:tcPr>
            <w:tcW w:w="1801" w:type="pct"/>
            <w:tcBorders>
              <w:top w:val="single" w:sz="4" w:space="0" w:color="auto"/>
              <w:left w:val="single" w:sz="4" w:space="0" w:color="auto"/>
              <w:bottom w:val="double" w:sz="6" w:space="0" w:color="auto"/>
              <w:right w:val="single" w:sz="4" w:space="0" w:color="auto"/>
            </w:tcBorders>
            <w:noWrap/>
            <w:vAlign w:val="bottom"/>
          </w:tcPr>
          <w:p w:rsidR="00000000" w:rsidRDefault="00D35856">
            <w:pPr>
              <w:keepNext w:val="0"/>
              <w:spacing w:after="0"/>
              <w:jc w:val="center"/>
              <w:rPr>
                <w:rFonts w:ascii="Arial" w:hAnsi="Arial"/>
                <w:sz w:val="20"/>
                <w:lang w:val="en-US"/>
              </w:rPr>
            </w:pPr>
            <w:r>
              <w:rPr>
                <w:rFonts w:ascii="Arial" w:hAnsi="Arial"/>
                <w:sz w:val="20"/>
                <w:lang w:val="en-US"/>
              </w:rPr>
              <w:t>0.60</w:t>
            </w:r>
          </w:p>
        </w:tc>
      </w:tr>
      <w:tr w:rsidR="00000000">
        <w:trPr>
          <w:trHeight w:val="500"/>
        </w:trPr>
        <w:tc>
          <w:tcPr>
            <w:tcW w:w="1558" w:type="pct"/>
            <w:tcBorders>
              <w:top w:val="nil"/>
              <w:left w:val="single" w:sz="4" w:space="0" w:color="auto"/>
              <w:bottom w:val="single" w:sz="4" w:space="0" w:color="auto"/>
              <w:right w:val="single" w:sz="4" w:space="0" w:color="auto"/>
            </w:tcBorders>
            <w:vAlign w:val="bottom"/>
          </w:tcPr>
          <w:p w:rsidR="00000000" w:rsidRDefault="00D35856">
            <w:pPr>
              <w:keepNext w:val="0"/>
              <w:spacing w:after="0"/>
              <w:rPr>
                <w:rFonts w:ascii="Arial" w:hAnsi="Arial"/>
                <w:b/>
                <w:sz w:val="20"/>
                <w:lang w:val="en-US"/>
              </w:rPr>
            </w:pPr>
            <w:r>
              <w:rPr>
                <w:rFonts w:ascii="Arial" w:hAnsi="Arial"/>
                <w:b/>
                <w:sz w:val="20"/>
                <w:lang w:val="en-US"/>
              </w:rPr>
              <w:t>Weighted average</w:t>
            </w:r>
          </w:p>
        </w:tc>
        <w:tc>
          <w:tcPr>
            <w:tcW w:w="1641" w:type="pct"/>
            <w:tcBorders>
              <w:top w:val="nil"/>
              <w:left w:val="single" w:sz="4" w:space="0" w:color="auto"/>
              <w:bottom w:val="single" w:sz="4" w:space="0" w:color="auto"/>
              <w:right w:val="single" w:sz="4" w:space="0" w:color="auto"/>
            </w:tcBorders>
            <w:noWrap/>
            <w:vAlign w:val="bottom"/>
          </w:tcPr>
          <w:p w:rsidR="00000000" w:rsidRDefault="00D35856">
            <w:pPr>
              <w:keepNext w:val="0"/>
              <w:spacing w:after="0"/>
              <w:jc w:val="center"/>
              <w:rPr>
                <w:rFonts w:ascii="Arial" w:hAnsi="Arial"/>
                <w:b/>
                <w:sz w:val="20"/>
                <w:lang w:val="en-US"/>
              </w:rPr>
            </w:pPr>
            <w:r>
              <w:rPr>
                <w:rFonts w:ascii="Arial" w:hAnsi="Arial"/>
                <w:b/>
                <w:sz w:val="20"/>
                <w:lang w:val="en-US"/>
              </w:rPr>
              <w:t>0.32</w:t>
            </w:r>
          </w:p>
        </w:tc>
        <w:tc>
          <w:tcPr>
            <w:tcW w:w="1801" w:type="pct"/>
            <w:tcBorders>
              <w:top w:val="nil"/>
              <w:left w:val="single" w:sz="4" w:space="0" w:color="auto"/>
              <w:bottom w:val="single" w:sz="4" w:space="0" w:color="auto"/>
              <w:right w:val="single" w:sz="4" w:space="0" w:color="auto"/>
            </w:tcBorders>
            <w:noWrap/>
            <w:vAlign w:val="bottom"/>
          </w:tcPr>
          <w:p w:rsidR="00000000" w:rsidRDefault="00D35856">
            <w:pPr>
              <w:keepNext w:val="0"/>
              <w:spacing w:after="0"/>
              <w:jc w:val="center"/>
              <w:rPr>
                <w:rFonts w:ascii="Arial" w:hAnsi="Arial"/>
                <w:b/>
                <w:sz w:val="20"/>
                <w:lang w:val="en-US"/>
              </w:rPr>
            </w:pPr>
            <w:r>
              <w:rPr>
                <w:rFonts w:ascii="Arial" w:hAnsi="Arial"/>
                <w:b/>
                <w:sz w:val="20"/>
                <w:lang w:val="en-US"/>
              </w:rPr>
              <w:t>0.51</w:t>
            </w:r>
          </w:p>
        </w:tc>
      </w:tr>
    </w:tbl>
    <w:p w:rsidR="00000000" w:rsidRDefault="00D35856">
      <w:pPr>
        <w:keepNext w:val="0"/>
        <w:widowControl w:val="0"/>
      </w:pPr>
    </w:p>
    <w:p w:rsidR="00000000" w:rsidRDefault="00D35856">
      <w:pPr>
        <w:pStyle w:val="Heading4"/>
        <w:keepNext w:val="0"/>
        <w:rPr>
          <w:color w:val="auto"/>
        </w:rPr>
      </w:pPr>
      <w:r>
        <w:rPr>
          <w:color w:val="auto"/>
        </w:rPr>
        <w:t>Contributions to energy savings</w:t>
      </w:r>
    </w:p>
    <w:p w:rsidR="00000000" w:rsidRDefault="00D35856">
      <w:pPr>
        <w:keepNext w:val="0"/>
        <w:widowControl w:val="0"/>
      </w:pPr>
      <w:r>
        <w:t>The</w:t>
      </w:r>
      <w:r>
        <w:t xml:space="preserve"> analysis for energy savings by products type shows that showers and washing machines contribute the most to energy savings, with dishwashers, taps and toilets resulting in less than 10% of the energy savings. This is consistent with expectations, as showe</w:t>
      </w:r>
      <w:r>
        <w:t xml:space="preserve">rheads and clothes washers use the greatest quantity of hot water and therefore have the potential to have the greatest impact on avoided energy for heating. </w:t>
      </w:r>
    </w:p>
    <w:p w:rsidR="00000000" w:rsidRDefault="00D35856">
      <w:pPr>
        <w:pStyle w:val="Caption"/>
      </w:pPr>
      <w:bookmarkStart w:id="223" w:name="_Toc199933844"/>
      <w:r>
        <w:t xml:space="preserve">Figure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Figure \* ARABIC \s 1 </w:instrText>
      </w:r>
      <w:r>
        <w:fldChar w:fldCharType="separate"/>
      </w:r>
      <w:r>
        <w:rPr>
          <w:noProof/>
        </w:rPr>
        <w:t>15</w:t>
      </w:r>
      <w:r>
        <w:fldChar w:fldCharType="end"/>
      </w:r>
      <w:r>
        <w:t xml:space="preserve"> Total energy savings by product type</w:t>
      </w:r>
      <w:bookmarkEnd w:id="223"/>
    </w:p>
    <w:p w:rsidR="00000000" w:rsidRDefault="00D35856">
      <w:pPr>
        <w:keepNext w:val="0"/>
        <w:widowControl w:val="0"/>
      </w:pPr>
      <w:r>
        <w:rPr>
          <w:noProof/>
          <w:lang w:eastAsia="en-AU"/>
        </w:rPr>
        <w:drawing>
          <wp:inline distT="0" distB="0" distL="0" distR="0">
            <wp:extent cx="5394960" cy="3261360"/>
            <wp:effectExtent l="19050" t="0" r="0" b="0"/>
            <wp:docPr id="38" name="Picture 38" descr="Fig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igure 4-15"/>
                    <pic:cNvPicPr>
                      <a:picLocks noChangeAspect="1" noChangeArrowheads="1"/>
                    </pic:cNvPicPr>
                  </pic:nvPicPr>
                  <pic:blipFill>
                    <a:blip r:embed="rId36"/>
                    <a:srcRect/>
                    <a:stretch>
                      <a:fillRect/>
                    </a:stretch>
                  </pic:blipFill>
                  <pic:spPr bwMode="auto">
                    <a:xfrm>
                      <a:off x="0" y="0"/>
                      <a:ext cx="5394960" cy="3261360"/>
                    </a:xfrm>
                    <a:prstGeom prst="rect">
                      <a:avLst/>
                    </a:prstGeom>
                    <a:noFill/>
                    <a:ln w="9525">
                      <a:noFill/>
                      <a:miter lim="800000"/>
                      <a:headEnd/>
                      <a:tailEnd/>
                    </a:ln>
                  </pic:spPr>
                </pic:pic>
              </a:graphicData>
            </a:graphic>
          </wp:inline>
        </w:drawing>
      </w:r>
    </w:p>
    <w:p w:rsidR="00000000" w:rsidRDefault="00D35856">
      <w:pPr>
        <w:keepNext w:val="0"/>
        <w:widowControl w:val="0"/>
      </w:pPr>
      <w:r>
        <w:t>As discussed above, the avoided energy consumption results from both avoided heating and avoided pumping and treatment. Heatin</w:t>
      </w:r>
      <w:r>
        <w:t xml:space="preserve">g water contributes the vast majority of energy savings,  approximately 95% of the total energy savings from </w:t>
      </w:r>
      <w:smartTag w:uri="urn:schemas-microsoft-com:office:smarttags" w:element="City">
        <w:r>
          <w:t>WELS</w:t>
        </w:r>
      </w:smartTag>
      <w:r>
        <w:t xml:space="preserve">. In 2021, only 93 GWh/a of the total 1386 GWH/a of energy savings resulted from avoided pumping and treatment. </w:t>
      </w:r>
    </w:p>
    <w:p w:rsidR="00000000" w:rsidRDefault="00D35856">
      <w:pPr>
        <w:keepNext w:val="0"/>
        <w:widowControl w:val="0"/>
      </w:pPr>
      <w:r>
        <w:t>The energy savings can</w:t>
      </w:r>
      <w:r>
        <w:t xml:space="preserve"> also be disaggregated by source, showing the proportion of energy savings from gas and electricity. For the heating of water, the split of electricity </w:t>
      </w:r>
      <w:r>
        <w:lastRenderedPageBreak/>
        <w:t>and gas use was established from ABS (2008) as 57% electricity and 43% gas. An exception to these propor</w:t>
      </w:r>
      <w:r>
        <w:t xml:space="preserve">tions was for the internal heating of water that occurs for a proportion of the water used in clothes washers and dishwashers. Internally heated water was assumed to be supplied by electricity only.  </w:t>
      </w:r>
    </w:p>
    <w:p w:rsidR="00000000" w:rsidRDefault="00D35856">
      <w:pPr>
        <w:keepNext w:val="0"/>
        <w:widowControl w:val="0"/>
      </w:pPr>
      <w:r>
        <w:t>There is an approximately even split between gas and el</w:t>
      </w:r>
      <w:r>
        <w:t xml:space="preserve">ectricity energy savings from </w:t>
      </w:r>
      <w:smartTag w:uri="urn:schemas-microsoft-com:office:smarttags" w:element="City">
        <w:r>
          <w:t>WELS</w:t>
        </w:r>
      </w:smartTag>
      <w:r>
        <w:t xml:space="preserve">, with 51% of the energy being supplied by electricity in 2021. More detail of the source of electricity over time is shown below. </w:t>
      </w:r>
    </w:p>
    <w:p w:rsidR="00000000" w:rsidRDefault="00D35856">
      <w:pPr>
        <w:pStyle w:val="Caption"/>
      </w:pPr>
      <w:bookmarkStart w:id="224" w:name="_Toc199933806"/>
      <w:r>
        <w:t xml:space="preserve">Table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Table \* ARABIC \s 1 </w:instrText>
      </w:r>
      <w:r>
        <w:fldChar w:fldCharType="separate"/>
      </w:r>
      <w:r>
        <w:rPr>
          <w:noProof/>
        </w:rPr>
        <w:t>13</w:t>
      </w:r>
      <w:r>
        <w:fldChar w:fldCharType="end"/>
      </w:r>
      <w:r>
        <w:t xml:space="preserve"> Total energ</w:t>
      </w:r>
      <w:r>
        <w:t>y savings by source</w:t>
      </w:r>
      <w:bookmarkEnd w:id="224"/>
    </w:p>
    <w:tbl>
      <w:tblPr>
        <w:tblW w:w="8227" w:type="dxa"/>
        <w:tblInd w:w="103" w:type="dxa"/>
        <w:tblLook w:val="0000"/>
      </w:tblPr>
      <w:tblGrid>
        <w:gridCol w:w="2699"/>
        <w:gridCol w:w="1559"/>
        <w:gridCol w:w="1417"/>
        <w:gridCol w:w="1276"/>
        <w:gridCol w:w="1276"/>
      </w:tblGrid>
      <w:tr w:rsidR="00000000">
        <w:trPr>
          <w:trHeight w:val="240"/>
        </w:trPr>
        <w:tc>
          <w:tcPr>
            <w:tcW w:w="2699" w:type="dxa"/>
            <w:tcBorders>
              <w:top w:val="single" w:sz="4" w:space="0" w:color="auto"/>
              <w:left w:val="single" w:sz="4" w:space="0" w:color="auto"/>
              <w:bottom w:val="single" w:sz="4" w:space="0" w:color="auto"/>
              <w:right w:val="single" w:sz="4" w:space="0" w:color="auto"/>
            </w:tcBorders>
            <w:shd w:val="clear" w:color="auto" w:fill="999999"/>
            <w:noWrap/>
            <w:vAlign w:val="bottom"/>
          </w:tcPr>
          <w:p w:rsidR="00000000" w:rsidRDefault="00D35856">
            <w:pPr>
              <w:keepNext w:val="0"/>
              <w:spacing w:after="0"/>
              <w:rPr>
                <w:rFonts w:ascii="Arial" w:hAnsi="Arial"/>
                <w:b/>
                <w:sz w:val="20"/>
                <w:lang w:val="en-US"/>
              </w:rPr>
            </w:pPr>
            <w:r>
              <w:rPr>
                <w:rFonts w:ascii="Arial" w:hAnsi="Arial"/>
                <w:b/>
                <w:sz w:val="20"/>
                <w:lang w:val="en-US"/>
              </w:rPr>
              <w:t>Total energy savings by source</w:t>
            </w:r>
          </w:p>
        </w:tc>
        <w:tc>
          <w:tcPr>
            <w:tcW w:w="1559" w:type="dxa"/>
            <w:tcBorders>
              <w:top w:val="single" w:sz="4" w:space="0" w:color="auto"/>
              <w:left w:val="single" w:sz="4" w:space="0" w:color="auto"/>
              <w:bottom w:val="single" w:sz="4" w:space="0" w:color="auto"/>
              <w:right w:val="single" w:sz="4" w:space="0" w:color="auto"/>
            </w:tcBorders>
            <w:shd w:val="clear" w:color="auto" w:fill="999999"/>
            <w:noWrap/>
            <w:vAlign w:val="center"/>
          </w:tcPr>
          <w:p w:rsidR="00000000" w:rsidRDefault="00D35856">
            <w:pPr>
              <w:keepNext w:val="0"/>
              <w:spacing w:after="0"/>
              <w:jc w:val="center"/>
              <w:rPr>
                <w:rFonts w:ascii="Arial" w:hAnsi="Arial"/>
                <w:b/>
                <w:sz w:val="20"/>
                <w:lang w:val="en-US"/>
              </w:rPr>
            </w:pPr>
            <w:r>
              <w:rPr>
                <w:rFonts w:ascii="Arial" w:hAnsi="Arial"/>
                <w:b/>
                <w:sz w:val="20"/>
                <w:lang w:val="en-US"/>
              </w:rPr>
              <w:t>2007</w:t>
            </w:r>
          </w:p>
        </w:tc>
        <w:tc>
          <w:tcPr>
            <w:tcW w:w="1417" w:type="dxa"/>
            <w:tcBorders>
              <w:top w:val="single" w:sz="4" w:space="0" w:color="auto"/>
              <w:left w:val="single" w:sz="4" w:space="0" w:color="auto"/>
              <w:bottom w:val="single" w:sz="4" w:space="0" w:color="auto"/>
              <w:right w:val="single" w:sz="4" w:space="0" w:color="auto"/>
            </w:tcBorders>
            <w:shd w:val="clear" w:color="auto" w:fill="999999"/>
            <w:noWrap/>
            <w:vAlign w:val="center"/>
          </w:tcPr>
          <w:p w:rsidR="00000000" w:rsidRDefault="00D35856">
            <w:pPr>
              <w:keepNext w:val="0"/>
              <w:spacing w:after="0"/>
              <w:jc w:val="center"/>
              <w:rPr>
                <w:rFonts w:ascii="Arial" w:hAnsi="Arial"/>
                <w:b/>
                <w:sz w:val="20"/>
                <w:lang w:val="en-US"/>
              </w:rPr>
            </w:pPr>
            <w:r>
              <w:rPr>
                <w:rFonts w:ascii="Arial" w:hAnsi="Arial"/>
                <w:b/>
                <w:sz w:val="20"/>
                <w:lang w:val="en-US"/>
              </w:rPr>
              <w:t>2010</w:t>
            </w:r>
          </w:p>
        </w:tc>
        <w:tc>
          <w:tcPr>
            <w:tcW w:w="1276" w:type="dxa"/>
            <w:tcBorders>
              <w:top w:val="single" w:sz="4" w:space="0" w:color="auto"/>
              <w:left w:val="single" w:sz="4" w:space="0" w:color="auto"/>
              <w:bottom w:val="single" w:sz="4" w:space="0" w:color="auto"/>
              <w:right w:val="single" w:sz="4" w:space="0" w:color="auto"/>
            </w:tcBorders>
            <w:shd w:val="clear" w:color="auto" w:fill="999999"/>
            <w:noWrap/>
            <w:vAlign w:val="center"/>
          </w:tcPr>
          <w:p w:rsidR="00000000" w:rsidRDefault="00D35856">
            <w:pPr>
              <w:keepNext w:val="0"/>
              <w:spacing w:after="0"/>
              <w:jc w:val="center"/>
              <w:rPr>
                <w:rFonts w:ascii="Arial" w:hAnsi="Arial"/>
                <w:b/>
                <w:sz w:val="20"/>
                <w:lang w:val="en-US"/>
              </w:rPr>
            </w:pPr>
            <w:r>
              <w:rPr>
                <w:rFonts w:ascii="Arial" w:hAnsi="Arial"/>
                <w:b/>
                <w:sz w:val="20"/>
                <w:lang w:val="en-US"/>
              </w:rPr>
              <w:t>2015</w:t>
            </w:r>
          </w:p>
        </w:tc>
        <w:tc>
          <w:tcPr>
            <w:tcW w:w="1276" w:type="dxa"/>
            <w:tcBorders>
              <w:top w:val="single" w:sz="4" w:space="0" w:color="auto"/>
              <w:left w:val="single" w:sz="4" w:space="0" w:color="auto"/>
              <w:bottom w:val="single" w:sz="4" w:space="0" w:color="auto"/>
              <w:right w:val="single" w:sz="4" w:space="0" w:color="auto"/>
            </w:tcBorders>
            <w:shd w:val="clear" w:color="auto" w:fill="999999"/>
            <w:noWrap/>
            <w:vAlign w:val="center"/>
          </w:tcPr>
          <w:p w:rsidR="00000000" w:rsidRDefault="00D35856">
            <w:pPr>
              <w:keepNext w:val="0"/>
              <w:spacing w:after="0"/>
              <w:jc w:val="center"/>
              <w:rPr>
                <w:rFonts w:ascii="Arial" w:hAnsi="Arial"/>
                <w:b/>
                <w:sz w:val="20"/>
                <w:lang w:val="en-US"/>
              </w:rPr>
            </w:pPr>
            <w:r>
              <w:rPr>
                <w:rFonts w:ascii="Arial" w:hAnsi="Arial"/>
                <w:b/>
                <w:sz w:val="20"/>
                <w:lang w:val="en-US"/>
              </w:rPr>
              <w:t>2021</w:t>
            </w:r>
          </w:p>
        </w:tc>
      </w:tr>
      <w:tr w:rsidR="00000000">
        <w:trPr>
          <w:trHeight w:val="240"/>
        </w:trPr>
        <w:tc>
          <w:tcPr>
            <w:tcW w:w="2699" w:type="dxa"/>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spacing w:after="0"/>
              <w:rPr>
                <w:rFonts w:ascii="Arial" w:hAnsi="Arial"/>
                <w:sz w:val="20"/>
                <w:lang w:val="en-US"/>
              </w:rPr>
            </w:pPr>
            <w:r>
              <w:rPr>
                <w:rFonts w:ascii="Arial" w:hAnsi="Arial"/>
                <w:sz w:val="20"/>
                <w:lang w:val="en-US"/>
              </w:rPr>
              <w:t xml:space="preserve">Gas (PJ/GWh) </w:t>
            </w:r>
          </w:p>
        </w:tc>
        <w:tc>
          <w:tcPr>
            <w:tcW w:w="1559" w:type="dxa"/>
            <w:tcBorders>
              <w:top w:val="single" w:sz="4" w:space="0" w:color="auto"/>
              <w:left w:val="single" w:sz="4" w:space="0" w:color="auto"/>
              <w:bottom w:val="single" w:sz="4" w:space="0" w:color="auto"/>
              <w:right w:val="single" w:sz="4" w:space="0" w:color="auto"/>
            </w:tcBorders>
            <w:noWrap/>
            <w:vAlign w:val="center"/>
          </w:tcPr>
          <w:p w:rsidR="00000000" w:rsidRDefault="00D35856">
            <w:pPr>
              <w:keepNext w:val="0"/>
              <w:spacing w:after="0"/>
              <w:jc w:val="center"/>
              <w:rPr>
                <w:rFonts w:ascii="Arial" w:hAnsi="Arial"/>
                <w:sz w:val="20"/>
                <w:lang w:val="en-US"/>
              </w:rPr>
            </w:pPr>
            <w:r>
              <w:rPr>
                <w:rFonts w:ascii="Arial" w:hAnsi="Arial"/>
                <w:sz w:val="20"/>
                <w:lang w:val="en-US"/>
              </w:rPr>
              <w:t>0.17 / 46</w:t>
            </w:r>
          </w:p>
        </w:tc>
        <w:tc>
          <w:tcPr>
            <w:tcW w:w="1417" w:type="dxa"/>
            <w:tcBorders>
              <w:top w:val="single" w:sz="4" w:space="0" w:color="auto"/>
              <w:left w:val="single" w:sz="4" w:space="0" w:color="auto"/>
              <w:bottom w:val="single" w:sz="4" w:space="0" w:color="auto"/>
              <w:right w:val="single" w:sz="4" w:space="0" w:color="auto"/>
            </w:tcBorders>
            <w:noWrap/>
            <w:vAlign w:val="center"/>
          </w:tcPr>
          <w:p w:rsidR="00000000" w:rsidRDefault="00D35856">
            <w:pPr>
              <w:keepNext w:val="0"/>
              <w:spacing w:after="0"/>
              <w:jc w:val="center"/>
              <w:rPr>
                <w:rFonts w:ascii="Arial" w:hAnsi="Arial"/>
                <w:sz w:val="20"/>
                <w:lang w:val="en-US"/>
              </w:rPr>
            </w:pPr>
            <w:r>
              <w:rPr>
                <w:rFonts w:ascii="Arial" w:hAnsi="Arial"/>
                <w:sz w:val="20"/>
                <w:lang w:val="en-US"/>
              </w:rPr>
              <w:t>0.59 / 166</w:t>
            </w:r>
          </w:p>
        </w:tc>
        <w:tc>
          <w:tcPr>
            <w:tcW w:w="1276" w:type="dxa"/>
            <w:tcBorders>
              <w:top w:val="single" w:sz="4" w:space="0" w:color="auto"/>
              <w:left w:val="single" w:sz="4" w:space="0" w:color="auto"/>
              <w:bottom w:val="single" w:sz="4" w:space="0" w:color="auto"/>
              <w:right w:val="single" w:sz="4" w:space="0" w:color="auto"/>
            </w:tcBorders>
            <w:noWrap/>
            <w:vAlign w:val="center"/>
          </w:tcPr>
          <w:p w:rsidR="00000000" w:rsidRDefault="00D35856">
            <w:pPr>
              <w:keepNext w:val="0"/>
              <w:spacing w:after="0"/>
              <w:jc w:val="center"/>
              <w:rPr>
                <w:rFonts w:ascii="Arial" w:hAnsi="Arial"/>
                <w:sz w:val="20"/>
                <w:lang w:val="en-US"/>
              </w:rPr>
            </w:pPr>
            <w:r>
              <w:rPr>
                <w:rFonts w:ascii="Arial" w:hAnsi="Arial"/>
                <w:sz w:val="20"/>
                <w:lang w:val="en-US"/>
              </w:rPr>
              <w:t>1.40 / 393</w:t>
            </w:r>
          </w:p>
        </w:tc>
        <w:tc>
          <w:tcPr>
            <w:tcW w:w="1276" w:type="dxa"/>
            <w:tcBorders>
              <w:top w:val="single" w:sz="4" w:space="0" w:color="auto"/>
              <w:left w:val="single" w:sz="4" w:space="0" w:color="auto"/>
              <w:bottom w:val="single" w:sz="4" w:space="0" w:color="auto"/>
              <w:right w:val="single" w:sz="4" w:space="0" w:color="auto"/>
            </w:tcBorders>
            <w:noWrap/>
            <w:vAlign w:val="center"/>
          </w:tcPr>
          <w:p w:rsidR="00000000" w:rsidRDefault="00D35856">
            <w:pPr>
              <w:keepNext w:val="0"/>
              <w:spacing w:after="0"/>
              <w:jc w:val="center"/>
              <w:rPr>
                <w:rFonts w:ascii="Arial" w:hAnsi="Arial"/>
                <w:sz w:val="20"/>
                <w:lang w:val="en-US"/>
              </w:rPr>
            </w:pPr>
            <w:r>
              <w:rPr>
                <w:rFonts w:ascii="Arial" w:hAnsi="Arial"/>
                <w:sz w:val="20"/>
                <w:lang w:val="en-US"/>
              </w:rPr>
              <w:t>2.50 / 701</w:t>
            </w:r>
          </w:p>
        </w:tc>
      </w:tr>
      <w:tr w:rsidR="00000000">
        <w:trPr>
          <w:trHeight w:val="240"/>
        </w:trPr>
        <w:tc>
          <w:tcPr>
            <w:tcW w:w="2699" w:type="dxa"/>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spacing w:after="0"/>
              <w:rPr>
                <w:rFonts w:ascii="Arial" w:hAnsi="Arial"/>
                <w:sz w:val="20"/>
                <w:lang w:val="en-US"/>
              </w:rPr>
            </w:pPr>
            <w:r>
              <w:rPr>
                <w:rFonts w:ascii="Arial" w:hAnsi="Arial"/>
                <w:sz w:val="20"/>
                <w:lang w:val="en-US"/>
              </w:rPr>
              <w:t>Electricity (GWh)</w:t>
            </w:r>
          </w:p>
        </w:tc>
        <w:tc>
          <w:tcPr>
            <w:tcW w:w="1559" w:type="dxa"/>
            <w:tcBorders>
              <w:top w:val="single" w:sz="4" w:space="0" w:color="auto"/>
              <w:left w:val="single" w:sz="4" w:space="0" w:color="auto"/>
              <w:bottom w:val="single" w:sz="4" w:space="0" w:color="auto"/>
              <w:right w:val="single" w:sz="4" w:space="0" w:color="auto"/>
            </w:tcBorders>
            <w:noWrap/>
            <w:vAlign w:val="center"/>
          </w:tcPr>
          <w:p w:rsidR="00000000" w:rsidRDefault="00D35856">
            <w:pPr>
              <w:keepNext w:val="0"/>
              <w:spacing w:after="0"/>
              <w:jc w:val="center"/>
              <w:rPr>
                <w:rFonts w:ascii="Arial" w:hAnsi="Arial"/>
                <w:sz w:val="20"/>
                <w:lang w:val="en-US"/>
              </w:rPr>
            </w:pPr>
            <w:r>
              <w:rPr>
                <w:rFonts w:ascii="Arial" w:hAnsi="Arial"/>
                <w:sz w:val="20"/>
                <w:lang w:val="en-US"/>
              </w:rPr>
              <w:t>35</w:t>
            </w:r>
          </w:p>
        </w:tc>
        <w:tc>
          <w:tcPr>
            <w:tcW w:w="1417" w:type="dxa"/>
            <w:tcBorders>
              <w:top w:val="single" w:sz="4" w:space="0" w:color="auto"/>
              <w:left w:val="single" w:sz="4" w:space="0" w:color="auto"/>
              <w:bottom w:val="single" w:sz="4" w:space="0" w:color="auto"/>
              <w:right w:val="single" w:sz="4" w:space="0" w:color="auto"/>
            </w:tcBorders>
            <w:noWrap/>
            <w:vAlign w:val="center"/>
          </w:tcPr>
          <w:p w:rsidR="00000000" w:rsidRDefault="00D35856">
            <w:pPr>
              <w:keepNext w:val="0"/>
              <w:spacing w:after="0"/>
              <w:jc w:val="center"/>
              <w:rPr>
                <w:rFonts w:ascii="Arial" w:hAnsi="Arial"/>
                <w:sz w:val="20"/>
                <w:lang w:val="en-US"/>
              </w:rPr>
            </w:pPr>
            <w:r>
              <w:rPr>
                <w:rFonts w:ascii="Arial" w:hAnsi="Arial"/>
                <w:sz w:val="20"/>
                <w:lang w:val="en-US"/>
              </w:rPr>
              <w:t>148</w:t>
            </w:r>
          </w:p>
        </w:tc>
        <w:tc>
          <w:tcPr>
            <w:tcW w:w="1276" w:type="dxa"/>
            <w:tcBorders>
              <w:top w:val="single" w:sz="4" w:space="0" w:color="auto"/>
              <w:left w:val="single" w:sz="4" w:space="0" w:color="auto"/>
              <w:bottom w:val="single" w:sz="4" w:space="0" w:color="auto"/>
              <w:right w:val="single" w:sz="4" w:space="0" w:color="auto"/>
            </w:tcBorders>
            <w:noWrap/>
            <w:vAlign w:val="center"/>
          </w:tcPr>
          <w:p w:rsidR="00000000" w:rsidRDefault="00D35856">
            <w:pPr>
              <w:keepNext w:val="0"/>
              <w:spacing w:after="0"/>
              <w:jc w:val="center"/>
              <w:rPr>
                <w:rFonts w:ascii="Arial" w:hAnsi="Arial"/>
                <w:sz w:val="20"/>
                <w:lang w:val="en-US"/>
              </w:rPr>
            </w:pPr>
            <w:r>
              <w:rPr>
                <w:rFonts w:ascii="Arial" w:hAnsi="Arial"/>
                <w:sz w:val="20"/>
                <w:lang w:val="en-US"/>
              </w:rPr>
              <w:t>368</w:t>
            </w:r>
          </w:p>
        </w:tc>
        <w:tc>
          <w:tcPr>
            <w:tcW w:w="1276" w:type="dxa"/>
            <w:tcBorders>
              <w:top w:val="single" w:sz="4" w:space="0" w:color="auto"/>
              <w:left w:val="single" w:sz="4" w:space="0" w:color="auto"/>
              <w:bottom w:val="single" w:sz="4" w:space="0" w:color="auto"/>
              <w:right w:val="single" w:sz="4" w:space="0" w:color="auto"/>
            </w:tcBorders>
            <w:noWrap/>
            <w:vAlign w:val="center"/>
          </w:tcPr>
          <w:p w:rsidR="00000000" w:rsidRDefault="00D35856">
            <w:pPr>
              <w:keepNext w:val="0"/>
              <w:spacing w:after="0"/>
              <w:jc w:val="center"/>
              <w:rPr>
                <w:rFonts w:ascii="Arial" w:hAnsi="Arial"/>
                <w:sz w:val="20"/>
                <w:lang w:val="en-US"/>
              </w:rPr>
            </w:pPr>
            <w:r>
              <w:rPr>
                <w:rFonts w:ascii="Arial" w:hAnsi="Arial"/>
                <w:sz w:val="20"/>
                <w:lang w:val="en-US"/>
              </w:rPr>
              <w:t>711</w:t>
            </w:r>
          </w:p>
        </w:tc>
      </w:tr>
    </w:tbl>
    <w:p w:rsidR="00000000" w:rsidRDefault="00D35856">
      <w:pPr>
        <w:keepNext w:val="0"/>
      </w:pPr>
    </w:p>
    <w:p w:rsidR="00000000" w:rsidRDefault="00D35856">
      <w:pPr>
        <w:pStyle w:val="Heading3"/>
        <w:keepNext w:val="0"/>
        <w:numPr>
          <w:ilvl w:val="2"/>
          <w:numId w:val="3"/>
        </w:numPr>
        <w:tabs>
          <w:tab w:val="clear" w:pos="1440"/>
        </w:tabs>
        <w:ind w:left="851" w:hanging="851"/>
        <w:rPr>
          <w:color w:val="auto"/>
        </w:rPr>
      </w:pPr>
      <w:bookmarkStart w:id="225" w:name="_Toc199933762"/>
      <w:r>
        <w:rPr>
          <w:color w:val="auto"/>
        </w:rPr>
        <w:t>Avoided energy costs – consumers’ water heating</w:t>
      </w:r>
      <w:bookmarkEnd w:id="225"/>
    </w:p>
    <w:p w:rsidR="00000000" w:rsidRDefault="00D35856">
      <w:pPr>
        <w:keepNext w:val="0"/>
        <w:widowControl w:val="0"/>
      </w:pPr>
      <w:r>
        <w:t>As discussed above, consumers avoid energy costs by avoiding water heating.</w:t>
      </w:r>
    </w:p>
    <w:p w:rsidR="00000000" w:rsidRDefault="00D35856">
      <w:pPr>
        <w:keepNext w:val="0"/>
        <w:widowControl w:val="0"/>
      </w:pPr>
      <w:r>
        <w:t>To calculate energy bill savings, an Australia-wide weighted average energy price (real) of 8.47c/kWh has been used. This figure takes into account current peak resid</w:t>
      </w:r>
      <w:r>
        <w:t xml:space="preserve">ential electricity, off-peak electricity and gas prices in each state, weighted according to relative amounts of each source of energy used to heat water in each state in 2005 (as listed in </w:t>
      </w:r>
      <w:r>
        <w:rPr>
          <w:i/>
        </w:rPr>
        <w:t>ABS 4602.0 Environmental Issues: People’s Views and Practices</w:t>
      </w:r>
      <w:r>
        <w:t xml:space="preserve">). A </w:t>
      </w:r>
      <w:r>
        <w:t>price of 15.74 c/kWh (weighted average peak electricity) has also been used to analyse energy bill savings associated with energy use to heat water internally to dishwashers and clothes washing machines.</w:t>
      </w:r>
    </w:p>
    <w:p w:rsidR="00000000" w:rsidRDefault="00D35856">
      <w:pPr>
        <w:keepNext w:val="0"/>
        <w:widowControl w:val="0"/>
      </w:pPr>
      <w:r>
        <w:t>In reality, a small proportion of water is also heat</w:t>
      </w:r>
      <w:r>
        <w:t>ed using wood and solar energy sources, but because this overall proportion is minor (around 4%) compared to electricity (around 57%) and gas (around 43%)  sources, the prices of wood and solar energy have not been included in the weighted average energy t</w:t>
      </w:r>
      <w:r>
        <w:t>ariffs. Weighted average energy prices (weighted across residential and non-residential water heating) are not available for each state, but residential tariffs are considered a reasonable approximation.</w:t>
      </w:r>
    </w:p>
    <w:p w:rsidR="00000000" w:rsidRDefault="00D35856">
      <w:pPr>
        <w:keepNext w:val="0"/>
        <w:widowControl w:val="0"/>
      </w:pPr>
      <w:r>
        <w:t>Like for water bill savings, projections of energy b</w:t>
      </w:r>
      <w:r>
        <w:t xml:space="preserve">ill savings are particularly dependent on assumptions about the rate of increase of energy tariffs in the future. Energy bill savings have therefore been analysed under scenarios of 0%, 5% and 10% annual increase of weighted average real tariffs. </w:t>
      </w:r>
    </w:p>
    <w:p w:rsidR="00000000" w:rsidRDefault="00D35856">
      <w:pPr>
        <w:keepNext w:val="0"/>
        <w:widowControl w:val="0"/>
        <w:spacing w:after="0"/>
      </w:pPr>
      <w:fldSimple w:instr=" REF _Ref191438180 \h  \* MERGEFORMAT ">
        <w:r>
          <w:t xml:space="preserve">Figure </w:t>
        </w:r>
        <w:r>
          <w:rPr>
            <w:noProof/>
          </w:rPr>
          <w:t>4</w:t>
        </w:r>
        <w:r>
          <w:rPr>
            <w:noProof/>
          </w:rPr>
          <w:noBreakHyphen/>
          <w:t>16</w:t>
        </w:r>
      </w:fldSimple>
      <w:r>
        <w:t xml:space="preserve"> illustrates that the NPV of energy bill savings (due to avoided water heating costs) ranges from $380 million to $1 billion, depending on future energy prices, and at a 7% discount rate. </w:t>
      </w:r>
    </w:p>
    <w:p w:rsidR="00000000" w:rsidRDefault="00D35856">
      <w:pPr>
        <w:keepNext w:val="0"/>
        <w:widowControl w:val="0"/>
        <w:spacing w:after="0"/>
      </w:pPr>
    </w:p>
    <w:p w:rsidR="00000000" w:rsidRDefault="00D35856">
      <w:pPr>
        <w:pStyle w:val="Caption"/>
        <w:keepNext w:val="0"/>
        <w:pageBreakBefore/>
      </w:pPr>
      <w:bookmarkStart w:id="226" w:name="_Ref191438180"/>
      <w:bookmarkStart w:id="227" w:name="_Toc191475281"/>
      <w:bookmarkStart w:id="228" w:name="_Toc199933845"/>
      <w:r>
        <w:lastRenderedPageBreak/>
        <w:t xml:space="preserve">Figure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Figure \* ARABIC \s 1 </w:instrText>
      </w:r>
      <w:r>
        <w:fldChar w:fldCharType="separate"/>
      </w:r>
      <w:r>
        <w:rPr>
          <w:noProof/>
        </w:rPr>
        <w:t>16</w:t>
      </w:r>
      <w:r>
        <w:fldChar w:fldCharType="end"/>
      </w:r>
      <w:bookmarkEnd w:id="226"/>
      <w:r>
        <w:t>: NPV of energy bill savings (consumers’ avoided water heating) due to WELS 2005—2006 to 2020-21</w:t>
      </w:r>
      <w:bookmarkEnd w:id="227"/>
      <w:bookmarkEnd w:id="228"/>
    </w:p>
    <w:p w:rsidR="00000000" w:rsidRDefault="00D35856">
      <w:pPr>
        <w:keepNext w:val="0"/>
        <w:widowControl w:val="0"/>
        <w:spacing w:after="0"/>
        <w:jc w:val="center"/>
      </w:pPr>
      <w:r>
        <w:rPr>
          <w:noProof/>
          <w:lang w:eastAsia="en-AU"/>
        </w:rPr>
        <w:drawing>
          <wp:inline distT="0" distB="0" distL="0" distR="0">
            <wp:extent cx="4038600" cy="3169920"/>
            <wp:effectExtent l="0" t="0" r="0" b="0"/>
            <wp:docPr id="39" name="Picture 39" descr="Fig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igure 4-16"/>
                    <pic:cNvPicPr>
                      <a:picLocks noChangeAspect="1" noChangeArrowheads="1"/>
                    </pic:cNvPicPr>
                  </pic:nvPicPr>
                  <pic:blipFill>
                    <a:blip r:embed="rId51"/>
                    <a:srcRect/>
                    <a:stretch>
                      <a:fillRect/>
                    </a:stretch>
                  </pic:blipFill>
                  <pic:spPr bwMode="auto">
                    <a:xfrm>
                      <a:off x="0" y="0"/>
                      <a:ext cx="4038600" cy="3169920"/>
                    </a:xfrm>
                    <a:prstGeom prst="rect">
                      <a:avLst/>
                    </a:prstGeom>
                    <a:noFill/>
                    <a:ln w="9525">
                      <a:noFill/>
                      <a:miter lim="800000"/>
                      <a:headEnd/>
                      <a:tailEnd/>
                    </a:ln>
                  </pic:spPr>
                </pic:pic>
              </a:graphicData>
            </a:graphic>
          </wp:inline>
        </w:drawing>
      </w:r>
    </w:p>
    <w:p w:rsidR="00000000" w:rsidRDefault="00D35856">
      <w:pPr>
        <w:keepNext w:val="0"/>
        <w:widowControl w:val="0"/>
      </w:pPr>
    </w:p>
    <w:p w:rsidR="00000000" w:rsidRDefault="00D35856">
      <w:pPr>
        <w:pStyle w:val="Heading3"/>
        <w:keepNext w:val="0"/>
        <w:numPr>
          <w:ilvl w:val="2"/>
          <w:numId w:val="3"/>
        </w:numPr>
        <w:tabs>
          <w:tab w:val="clear" w:pos="1440"/>
        </w:tabs>
        <w:ind w:left="851" w:hanging="851"/>
        <w:rPr>
          <w:color w:val="auto"/>
        </w:rPr>
      </w:pPr>
      <w:bookmarkStart w:id="229" w:name="_Toc199933763"/>
      <w:bookmarkStart w:id="230" w:name="_Toc187737295"/>
      <w:r>
        <w:rPr>
          <w:color w:val="auto"/>
        </w:rPr>
        <w:t>Avoided operating costs (energy) for water supply and sewage treatment</w:t>
      </w:r>
      <w:bookmarkEnd w:id="229"/>
    </w:p>
    <w:p w:rsidR="00000000" w:rsidRDefault="00D35856">
      <w:pPr>
        <w:keepNext w:val="0"/>
        <w:rPr>
          <w:rFonts w:ascii="Arial" w:hAnsi="Arial" w:cs="Arial"/>
          <w:b/>
          <w:spacing w:val="-10"/>
          <w:sz w:val="20"/>
          <w:szCs w:val="20"/>
        </w:rPr>
      </w:pPr>
      <w:r>
        <w:t>The marginal cost (cost per kWh) for energy used by water businesses to pump and treat water and wastewater is inherently difficult to estimate. Fo</w:t>
      </w:r>
      <w:r>
        <w:t>r illustrative purposes, the NPV of avoided energy costs associated with avoided pumping and treatment due to WELS have been calculated based on current Australia-wide average retail peak electricity price of 15.74 c/kWh. Although this may be an overestima</w:t>
      </w:r>
      <w:r>
        <w:t xml:space="preserve">te of energy prices paid by water businesses, the avoided energy costs from pumping and treatment are substantially lower than those associated with avoided water heating. As illustrated in </w:t>
      </w:r>
      <w:fldSimple w:instr=" REF _Ref191441770 \h  \* MERGEFORMAT ">
        <w:r>
          <w:t xml:space="preserve">Figure </w:t>
        </w:r>
        <w:r>
          <w:rPr>
            <w:noProof/>
          </w:rPr>
          <w:t>4</w:t>
        </w:r>
        <w:r>
          <w:rPr>
            <w:noProof/>
          </w:rPr>
          <w:noBreakHyphen/>
          <w:t>17</w:t>
        </w:r>
      </w:fldSimple>
      <w:r>
        <w:t>, the NPV of avoided energy costs due to pumping and treatment range from $44m to $112m at 7% discount rate (depending on future energy prices), which is about a tenth of the avoided energy costs due to avo</w:t>
      </w:r>
      <w:r>
        <w:t>ided water heating.</w:t>
      </w:r>
    </w:p>
    <w:p w:rsidR="00000000" w:rsidRDefault="00D35856">
      <w:pPr>
        <w:pStyle w:val="Caption"/>
        <w:keepNext w:val="0"/>
        <w:pageBreakBefore/>
      </w:pPr>
      <w:bookmarkStart w:id="231" w:name="_Ref191441770"/>
      <w:bookmarkStart w:id="232" w:name="_Toc191475282"/>
      <w:bookmarkStart w:id="233" w:name="_Toc199933846"/>
      <w:r>
        <w:lastRenderedPageBreak/>
        <w:t xml:space="preserve">Figure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Figure \* ARABIC \s 1 </w:instrText>
      </w:r>
      <w:r>
        <w:fldChar w:fldCharType="separate"/>
      </w:r>
      <w:r>
        <w:rPr>
          <w:noProof/>
        </w:rPr>
        <w:t>17</w:t>
      </w:r>
      <w:r>
        <w:fldChar w:fldCharType="end"/>
      </w:r>
      <w:bookmarkEnd w:id="231"/>
      <w:r>
        <w:t>: NPV of avoided energy costs (avoided pumping and treatment) due to WELS 2005-06 to 2020-21</w:t>
      </w:r>
      <w:bookmarkEnd w:id="232"/>
      <w:bookmarkEnd w:id="233"/>
    </w:p>
    <w:p w:rsidR="00000000" w:rsidRDefault="00D35856">
      <w:pPr>
        <w:keepNext w:val="0"/>
      </w:pPr>
    </w:p>
    <w:p w:rsidR="00000000" w:rsidRDefault="00D35856">
      <w:pPr>
        <w:keepNext w:val="0"/>
        <w:jc w:val="center"/>
      </w:pPr>
      <w:r>
        <w:rPr>
          <w:noProof/>
          <w:lang w:eastAsia="en-AU"/>
        </w:rPr>
        <w:drawing>
          <wp:inline distT="0" distB="0" distL="0" distR="0">
            <wp:extent cx="2712720" cy="2491740"/>
            <wp:effectExtent l="19050" t="0" r="0" b="0"/>
            <wp:docPr id="40" name="Picture 40" descr="Fig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igure 4-17"/>
                    <pic:cNvPicPr>
                      <a:picLocks noChangeAspect="1" noChangeArrowheads="1"/>
                    </pic:cNvPicPr>
                  </pic:nvPicPr>
                  <pic:blipFill>
                    <a:blip r:embed="rId52"/>
                    <a:srcRect/>
                    <a:stretch>
                      <a:fillRect/>
                    </a:stretch>
                  </pic:blipFill>
                  <pic:spPr bwMode="auto">
                    <a:xfrm>
                      <a:off x="0" y="0"/>
                      <a:ext cx="2712720" cy="2491740"/>
                    </a:xfrm>
                    <a:prstGeom prst="rect">
                      <a:avLst/>
                    </a:prstGeom>
                    <a:noFill/>
                    <a:ln w="9525">
                      <a:noFill/>
                      <a:miter lim="800000"/>
                      <a:headEnd/>
                      <a:tailEnd/>
                    </a:ln>
                  </pic:spPr>
                </pic:pic>
              </a:graphicData>
            </a:graphic>
          </wp:inline>
        </w:drawing>
      </w:r>
    </w:p>
    <w:p w:rsidR="00000000" w:rsidRDefault="00D35856">
      <w:pPr>
        <w:pStyle w:val="Heading2"/>
        <w:numPr>
          <w:ilvl w:val="1"/>
          <w:numId w:val="3"/>
        </w:numPr>
        <w:tabs>
          <w:tab w:val="clear" w:pos="1296"/>
        </w:tabs>
        <w:ind w:left="567" w:hanging="567"/>
        <w:rPr>
          <w:color w:val="auto"/>
        </w:rPr>
      </w:pPr>
      <w:bookmarkStart w:id="234" w:name="_Toc199933764"/>
      <w:r>
        <w:rPr>
          <w:color w:val="auto"/>
        </w:rPr>
        <w:t>Avoided greenhouse gas emissions</w:t>
      </w:r>
      <w:bookmarkEnd w:id="230"/>
      <w:bookmarkEnd w:id="234"/>
    </w:p>
    <w:p w:rsidR="00000000" w:rsidRDefault="00D35856">
      <w:pPr>
        <w:keepNext w:val="0"/>
        <w:widowControl w:val="0"/>
      </w:pPr>
      <w:r>
        <w:t xml:space="preserve">Whilst the overarching objective of </w:t>
      </w:r>
      <w:smartTag w:uri="urn:schemas-microsoft-com:office:smarttags" w:element="City">
        <w:r>
          <w:t>WELS</w:t>
        </w:r>
      </w:smartTag>
      <w:r>
        <w:t xml:space="preserve"> is to achieve water savings, another major, global benefit of</w:t>
      </w:r>
      <w:r>
        <w:t xml:space="preserve"> </w:t>
      </w:r>
      <w:smartTag w:uri="urn:schemas-microsoft-com:office:smarttags" w:element="City">
        <w:r>
          <w:t>WELS</w:t>
        </w:r>
      </w:smartTag>
      <w:r>
        <w:t xml:space="preserve"> is the reductions in greenhouse gas emissions, from avoided energy use for heating water, water supply and sewage treatment.</w:t>
      </w:r>
    </w:p>
    <w:p w:rsidR="00000000" w:rsidRDefault="00D35856">
      <w:pPr>
        <w:keepNext w:val="0"/>
        <w:widowControl w:val="0"/>
      </w:pPr>
      <w:r>
        <w:t>Estimates of avoided greenhouse gas emissions associated with reduced energy use depend upon several assumptions, inc</w:t>
      </w:r>
      <w:r>
        <w:t>luding greenhouse gas emissions factors and the cost of carbon. In this analysis, Australia-wide weighted greenhouse gas emissions intensity factors of 0.9 kg tCO</w:t>
      </w:r>
      <w:r>
        <w:rPr>
          <w:vertAlign w:val="subscript"/>
        </w:rPr>
        <w:t>2</w:t>
      </w:r>
      <w:r>
        <w:t>e/kwH for electricity and 64.5 kg/GJ for gas have been adopted. As discussed below, there are</w:t>
      </w:r>
      <w:r>
        <w:t xml:space="preserve"> several ways methods to value avoided greenhouse gas emissions. In this analysis, a range of carbon prices and pathways were analysed. For the projection period (to 2020—2021), the source-mix of energy used to heat water is not assumed to change.</w:t>
      </w:r>
    </w:p>
    <w:p w:rsidR="00000000" w:rsidRDefault="00D35856">
      <w:pPr>
        <w:keepNext w:val="0"/>
        <w:widowControl w:val="0"/>
      </w:pPr>
      <w:r>
        <w:t>In total</w:t>
      </w:r>
      <w:r>
        <w:t xml:space="preserve">, </w:t>
      </w:r>
      <w:smartTag w:uri="urn:schemas-microsoft-com:office:smarttags" w:element="City">
        <w:r>
          <w:t>WELS</w:t>
        </w:r>
      </w:smartTag>
      <w:r>
        <w:t xml:space="preserve"> is projected to avoid the emission over 6.6 million tonnes of CO</w:t>
      </w:r>
      <w:r>
        <w:rPr>
          <w:vertAlign w:val="subscript"/>
        </w:rPr>
        <w:t>2</w:t>
      </w:r>
      <w:r>
        <w:t>-e in the period 2005—2006 to 2020—2021, mainly associated with energy savings due to avoided water heating requirements. These savings are approximately 400</w:t>
      </w:r>
      <w:r>
        <w:t> </w:t>
      </w:r>
      <w:r>
        <w:t>000 tonnes/annum a</w:t>
      </w:r>
      <w:r>
        <w:t>veraged over the period 2005 to 2021, which is the equivalent of taking about 90</w:t>
      </w:r>
      <w:r>
        <w:t> </w:t>
      </w:r>
      <w:r>
        <w:t>000 cars off the road every year.  The value of these avoided greenhouse gas emissions, depending on assumptions about carbon prices, varies from about $61 to $307 million NPV</w:t>
      </w:r>
      <w:r>
        <w:t>, at 7% discount rates.</w:t>
      </w:r>
    </w:p>
    <w:tbl>
      <w:tblPr>
        <w:tblStyle w:val="TableGrid"/>
        <w:tblW w:w="0" w:type="auto"/>
        <w:tblLook w:val="01E0"/>
      </w:tblPr>
      <w:tblGrid>
        <w:gridCol w:w="8516"/>
      </w:tblGrid>
      <w:tr w:rsidR="00000000">
        <w:tc>
          <w:tcPr>
            <w:tcW w:w="8516" w:type="dxa"/>
            <w:shd w:val="pct5" w:color="auto" w:fill="auto"/>
          </w:tcPr>
          <w:p w:rsidR="00000000" w:rsidRDefault="00D35856">
            <w:pPr>
              <w:keepNext w:val="0"/>
              <w:pageBreakBefore/>
              <w:widowControl w:val="0"/>
              <w:rPr>
                <w:rFonts w:ascii="Arial" w:hAnsi="Arial" w:cs="Arial"/>
                <w:b/>
                <w:sz w:val="18"/>
                <w:szCs w:val="18"/>
              </w:rPr>
            </w:pPr>
            <w:r>
              <w:rPr>
                <w:rFonts w:ascii="Arial" w:hAnsi="Arial" w:cs="Arial"/>
                <w:b/>
                <w:sz w:val="18"/>
                <w:szCs w:val="18"/>
              </w:rPr>
              <w:lastRenderedPageBreak/>
              <w:t>What cost carbon?</w:t>
            </w:r>
          </w:p>
          <w:p w:rsidR="00000000" w:rsidRDefault="00D35856">
            <w:pPr>
              <w:keepNext w:val="0"/>
              <w:widowControl w:val="0"/>
              <w:rPr>
                <w:rFonts w:ascii="Arial" w:hAnsi="Arial" w:cs="Arial"/>
                <w:sz w:val="18"/>
                <w:szCs w:val="18"/>
              </w:rPr>
            </w:pPr>
            <w:r>
              <w:rPr>
                <w:rFonts w:ascii="Arial" w:hAnsi="Arial" w:cs="Arial"/>
                <w:sz w:val="18"/>
                <w:szCs w:val="18"/>
              </w:rPr>
              <w:t>Anthropogenic greenhouse gas emissions result in what is described as a global externality, because the impacts are experienced by all people globally. A fully functioning and effective international emissions trad</w:t>
            </w:r>
            <w:r>
              <w:rPr>
                <w:rFonts w:ascii="Arial" w:hAnsi="Arial" w:cs="Arial"/>
                <w:sz w:val="18"/>
                <w:szCs w:val="18"/>
              </w:rPr>
              <w:t xml:space="preserve">ing scheme would (in theory) set a corresponding global price for carbon which reflects these external costs. </w:t>
            </w:r>
          </w:p>
          <w:p w:rsidR="00000000" w:rsidRDefault="00D35856">
            <w:pPr>
              <w:keepNext w:val="0"/>
              <w:widowControl w:val="0"/>
              <w:rPr>
                <w:rFonts w:ascii="Arial" w:hAnsi="Arial" w:cs="Arial"/>
                <w:sz w:val="18"/>
                <w:szCs w:val="18"/>
              </w:rPr>
            </w:pPr>
            <w:r>
              <w:rPr>
                <w:rFonts w:ascii="Arial" w:hAnsi="Arial" w:cs="Arial"/>
                <w:sz w:val="18"/>
                <w:szCs w:val="18"/>
              </w:rPr>
              <w:t xml:space="preserve">Depending on how the scheme operated within </w:t>
            </w:r>
            <w:smartTag w:uri="urn:schemas-microsoft-com:office:smarttags" w:element="City">
              <w:r>
                <w:rPr>
                  <w:rFonts w:ascii="Arial" w:hAnsi="Arial" w:cs="Arial"/>
                  <w:sz w:val="18"/>
                  <w:szCs w:val="18"/>
                </w:rPr>
                <w:t>Australia</w:t>
              </w:r>
            </w:smartTag>
            <w:r>
              <w:rPr>
                <w:rFonts w:ascii="Arial" w:hAnsi="Arial" w:cs="Arial"/>
                <w:sz w:val="18"/>
                <w:szCs w:val="18"/>
              </w:rPr>
              <w:t>, this global price for carbon would be reflected in energy prices. However, as this</w:t>
            </w:r>
            <w:r>
              <w:rPr>
                <w:rFonts w:ascii="Arial" w:hAnsi="Arial" w:cs="Arial"/>
                <w:sz w:val="18"/>
                <w:szCs w:val="18"/>
              </w:rPr>
              <w:t xml:space="preserve"> international scheme does not currently exist, there are a number of techniques which could be used to monetise greenhouse gas externalities. Different techniques are based on different assumptions; including about acceptable emissions pathways and stabil</w:t>
            </w:r>
            <w:r>
              <w:rPr>
                <w:rFonts w:ascii="Arial" w:hAnsi="Arial" w:cs="Arial"/>
                <w:sz w:val="18"/>
                <w:szCs w:val="18"/>
              </w:rPr>
              <w:t>isation levels, and the distribution of abatement effort between nations.</w:t>
            </w:r>
          </w:p>
          <w:p w:rsidR="00000000" w:rsidRDefault="00D35856">
            <w:pPr>
              <w:keepNext w:val="0"/>
              <w:widowControl w:val="0"/>
              <w:rPr>
                <w:rFonts w:ascii="Arial" w:hAnsi="Arial" w:cs="Arial"/>
                <w:sz w:val="18"/>
                <w:szCs w:val="18"/>
              </w:rPr>
            </w:pPr>
            <w:r>
              <w:rPr>
                <w:rFonts w:ascii="Arial" w:hAnsi="Arial" w:cs="Arial"/>
                <w:sz w:val="18"/>
                <w:szCs w:val="18"/>
              </w:rPr>
              <w:t>Different valuations of greenhouse gas emissions externalities include (Plant et. al, forthcoming):</w:t>
            </w:r>
          </w:p>
          <w:p w:rsidR="00000000" w:rsidRDefault="00D35856">
            <w:pPr>
              <w:keepNext w:val="0"/>
              <w:widowControl w:val="0"/>
              <w:numPr>
                <w:ilvl w:val="0"/>
                <w:numId w:val="6"/>
              </w:numPr>
              <w:rPr>
                <w:rFonts w:ascii="Arial" w:hAnsi="Arial" w:cs="Arial"/>
                <w:sz w:val="18"/>
                <w:szCs w:val="18"/>
              </w:rPr>
            </w:pPr>
            <w:r>
              <w:rPr>
                <w:rFonts w:ascii="Arial" w:hAnsi="Arial" w:cs="Arial"/>
                <w:b/>
                <w:sz w:val="18"/>
                <w:szCs w:val="18"/>
              </w:rPr>
              <w:t>Damage costs -</w:t>
            </w:r>
            <w:r>
              <w:rPr>
                <w:rFonts w:ascii="Arial" w:hAnsi="Arial" w:cs="Arial"/>
                <w:sz w:val="18"/>
                <w:szCs w:val="18"/>
              </w:rPr>
              <w:t xml:space="preserve"> The market and non-market values that will be affected, globally, by climate change. For example, the Stern Report estimates the social cost of carbon at BAU is around US$85/tCO</w:t>
            </w:r>
            <w:r>
              <w:rPr>
                <w:rFonts w:ascii="Arial" w:hAnsi="Arial" w:cs="Arial"/>
                <w:sz w:val="18"/>
                <w:szCs w:val="18"/>
                <w:vertAlign w:val="subscript"/>
              </w:rPr>
              <w:t>2</w:t>
            </w:r>
            <w:r>
              <w:rPr>
                <w:rFonts w:ascii="Arial" w:hAnsi="Arial" w:cs="Arial"/>
                <w:sz w:val="18"/>
                <w:szCs w:val="18"/>
              </w:rPr>
              <w:t>-e (2000 prices).</w:t>
            </w:r>
          </w:p>
          <w:p w:rsidR="00000000" w:rsidRDefault="00D35856">
            <w:pPr>
              <w:keepNext w:val="0"/>
              <w:widowControl w:val="0"/>
              <w:numPr>
                <w:ilvl w:val="0"/>
                <w:numId w:val="6"/>
              </w:numPr>
              <w:rPr>
                <w:rFonts w:ascii="Arial" w:hAnsi="Arial" w:cs="Arial"/>
                <w:sz w:val="18"/>
                <w:szCs w:val="18"/>
              </w:rPr>
            </w:pPr>
            <w:r>
              <w:rPr>
                <w:rFonts w:ascii="Arial" w:hAnsi="Arial" w:cs="Arial"/>
                <w:b/>
                <w:sz w:val="18"/>
                <w:szCs w:val="18"/>
              </w:rPr>
              <w:t>Actual emissions markets</w:t>
            </w:r>
            <w:r>
              <w:rPr>
                <w:rFonts w:ascii="Arial" w:hAnsi="Arial" w:cs="Arial"/>
                <w:sz w:val="18"/>
                <w:szCs w:val="18"/>
              </w:rPr>
              <w:t xml:space="preserve"> - The price of carbon in existin</w:t>
            </w:r>
            <w:r>
              <w:rPr>
                <w:rFonts w:ascii="Arial" w:hAnsi="Arial" w:cs="Arial"/>
                <w:sz w:val="18"/>
                <w:szCs w:val="18"/>
              </w:rPr>
              <w:t>g emissions trading schemes. For example, prices in the EU Emissions trading scheme varied from E10/tCO</w:t>
            </w:r>
            <w:r>
              <w:rPr>
                <w:rFonts w:ascii="Arial" w:hAnsi="Arial" w:cs="Arial"/>
                <w:sz w:val="18"/>
                <w:szCs w:val="18"/>
                <w:vertAlign w:val="subscript"/>
              </w:rPr>
              <w:t>2</w:t>
            </w:r>
            <w:r>
              <w:rPr>
                <w:rFonts w:ascii="Arial" w:hAnsi="Arial" w:cs="Arial"/>
                <w:sz w:val="18"/>
                <w:szCs w:val="18"/>
              </w:rPr>
              <w:t xml:space="preserve"> at its inception in January 2005, rising to around E20-E30 before crashing to E10 in May 2006 (Grubb and Neuhoff 2006). The price of abatement certific</w:t>
            </w:r>
            <w:r>
              <w:rPr>
                <w:rFonts w:ascii="Arial" w:hAnsi="Arial" w:cs="Arial"/>
                <w:sz w:val="18"/>
                <w:szCs w:val="18"/>
              </w:rPr>
              <w:t xml:space="preserve">ates in the NSW Greenhouse Gas Reduction Scheme has also varied significantly since its inception on 1 January 2003. At July 2006, prices were around $13-$15/t (Sydney Water 2006). </w:t>
            </w:r>
          </w:p>
          <w:p w:rsidR="00000000" w:rsidRDefault="00D35856">
            <w:pPr>
              <w:keepNext w:val="0"/>
              <w:widowControl w:val="0"/>
              <w:numPr>
                <w:ilvl w:val="0"/>
                <w:numId w:val="6"/>
              </w:numPr>
              <w:rPr>
                <w:rFonts w:ascii="Arial" w:hAnsi="Arial" w:cs="Arial"/>
                <w:sz w:val="18"/>
                <w:szCs w:val="18"/>
              </w:rPr>
            </w:pPr>
            <w:r>
              <w:rPr>
                <w:rFonts w:ascii="Arial" w:hAnsi="Arial" w:cs="Arial"/>
                <w:b/>
                <w:sz w:val="18"/>
                <w:szCs w:val="18"/>
              </w:rPr>
              <w:t>Hypothetical carbon signal</w:t>
            </w:r>
            <w:r>
              <w:rPr>
                <w:rFonts w:ascii="Arial" w:hAnsi="Arial" w:cs="Arial"/>
                <w:sz w:val="18"/>
                <w:szCs w:val="18"/>
              </w:rPr>
              <w:t xml:space="preserve">: The price of carbon estimated to occur in a </w:t>
            </w:r>
            <w:r>
              <w:rPr>
                <w:rFonts w:ascii="Arial" w:hAnsi="Arial" w:cs="Arial"/>
                <w:sz w:val="18"/>
                <w:szCs w:val="18"/>
              </w:rPr>
              <w:t>global trading scheme OR the carbon tax required to reduce emissions to acceptable levels. These are related to the costs associated with abating greenhouse gas emissions to acceptable levels. Examples include:</w:t>
            </w:r>
          </w:p>
          <w:p w:rsidR="00000000" w:rsidRDefault="00D35856">
            <w:pPr>
              <w:keepNext w:val="0"/>
              <w:widowControl w:val="0"/>
              <w:ind w:left="360"/>
              <w:rPr>
                <w:rFonts w:ascii="Arial" w:hAnsi="Arial" w:cs="Arial"/>
                <w:sz w:val="18"/>
                <w:szCs w:val="18"/>
              </w:rPr>
            </w:pPr>
            <w:r>
              <w:rPr>
                <w:rFonts w:ascii="Arial" w:hAnsi="Arial" w:cs="Arial"/>
                <w:sz w:val="18"/>
                <w:szCs w:val="18"/>
              </w:rPr>
              <w:t>- A study by ABARE in July 2006 on the econom</w:t>
            </w:r>
            <w:r>
              <w:rPr>
                <w:rFonts w:ascii="Arial" w:hAnsi="Arial" w:cs="Arial"/>
                <w:sz w:val="18"/>
                <w:szCs w:val="18"/>
              </w:rPr>
              <w:t>ic impacts of climate change policy estimated likely globally harmonised carbon tax required under different scenarios of timing of abatement action, and types of abatement technologies and energy sources available, and global emissions pathways. Under a r</w:t>
            </w:r>
            <w:r>
              <w:rPr>
                <w:rFonts w:ascii="Arial" w:hAnsi="Arial" w:cs="Arial"/>
                <w:sz w:val="18"/>
                <w:szCs w:val="18"/>
              </w:rPr>
              <w:t>ange of scenarios where a global carbon tax is introduced in 2010, the estimates for the globally harmonised carbon tax range from $22/tCO2e in 2020 to $99-$157/tCO2e in 2050, depending on what technologies are available (Ahammad et. al. 2006).</w:t>
            </w:r>
          </w:p>
          <w:p w:rsidR="00000000" w:rsidRDefault="00D35856">
            <w:pPr>
              <w:keepNext w:val="0"/>
              <w:widowControl w:val="0"/>
              <w:ind w:left="360"/>
              <w:rPr>
                <w:rFonts w:ascii="Arial" w:hAnsi="Arial" w:cs="Arial"/>
                <w:sz w:val="18"/>
                <w:szCs w:val="18"/>
              </w:rPr>
            </w:pPr>
            <w:r>
              <w:rPr>
                <w:rFonts w:ascii="Arial" w:hAnsi="Arial" w:cs="Arial"/>
                <w:sz w:val="18"/>
                <w:szCs w:val="18"/>
              </w:rPr>
              <w:t>- A study b</w:t>
            </w:r>
            <w:r>
              <w:rPr>
                <w:rFonts w:ascii="Arial" w:hAnsi="Arial" w:cs="Arial"/>
                <w:sz w:val="18"/>
                <w:szCs w:val="18"/>
              </w:rPr>
              <w:t>y MMA in July 2006 for the National Emissions Trading Taskforce found that the cost of carbon capture and storage for a brown coal IGCC plant would fall from about $32/t CO2e in 2020 to around $25 in 2030 (MMA 2006).</w:t>
            </w:r>
          </w:p>
          <w:p w:rsidR="00000000" w:rsidRDefault="00D35856">
            <w:pPr>
              <w:keepNext w:val="0"/>
              <w:widowControl w:val="0"/>
              <w:ind w:left="360"/>
              <w:rPr>
                <w:rFonts w:ascii="Arial" w:hAnsi="Arial" w:cs="Arial"/>
                <w:sz w:val="18"/>
                <w:szCs w:val="18"/>
              </w:rPr>
            </w:pPr>
            <w:r>
              <w:rPr>
                <w:rFonts w:ascii="Arial" w:hAnsi="Arial" w:cs="Arial"/>
                <w:sz w:val="18"/>
                <w:szCs w:val="18"/>
              </w:rPr>
              <w:t>- A review of the Australian Government</w:t>
            </w:r>
            <w:r>
              <w:rPr>
                <w:rFonts w:ascii="Arial" w:hAnsi="Arial" w:cs="Arial"/>
                <w:sz w:val="18"/>
                <w:szCs w:val="18"/>
              </w:rPr>
              <w:t>'s Mandatory Renewable Energy Target found that the cost of abatement to the economy was around $32/tonne. (AGO 2003)</w:t>
            </w:r>
          </w:p>
        </w:tc>
      </w:tr>
    </w:tbl>
    <w:p w:rsidR="00000000" w:rsidRDefault="00D35856">
      <w:pPr>
        <w:keepNext w:val="0"/>
        <w:widowControl w:val="0"/>
      </w:pPr>
    </w:p>
    <w:p w:rsidR="00000000" w:rsidRDefault="00D35856">
      <w:pPr>
        <w:pStyle w:val="Caption"/>
        <w:keepNext w:val="0"/>
      </w:pPr>
      <w:bookmarkStart w:id="235" w:name="_Toc191475283"/>
      <w:bookmarkStart w:id="236" w:name="_Toc199933847"/>
      <w:r>
        <w:t xml:space="preserve">Figure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Figure \* ARABIC \s 1 </w:instrText>
      </w:r>
      <w:r>
        <w:fldChar w:fldCharType="separate"/>
      </w:r>
      <w:r>
        <w:rPr>
          <w:noProof/>
        </w:rPr>
        <w:t>18</w:t>
      </w:r>
      <w:r>
        <w:fldChar w:fldCharType="end"/>
      </w:r>
      <w:r>
        <w:t xml:space="preserve">: Total value of avoided greenhouse gas emissions due to </w:t>
      </w:r>
      <w:smartTag w:uri="urn:schemas-microsoft-com:office:smarttags" w:element="City">
        <w:r>
          <w:t>WELS</w:t>
        </w:r>
      </w:smartTag>
      <w:bookmarkEnd w:id="235"/>
      <w:bookmarkEnd w:id="236"/>
    </w:p>
    <w:p w:rsidR="00000000" w:rsidRDefault="00D35856">
      <w:pPr>
        <w:keepNext w:val="0"/>
        <w:widowControl w:val="0"/>
        <w:jc w:val="center"/>
      </w:pPr>
      <w:r>
        <w:rPr>
          <w:noProof/>
          <w:lang w:eastAsia="en-AU"/>
        </w:rPr>
        <w:drawing>
          <wp:inline distT="0" distB="0" distL="0" distR="0">
            <wp:extent cx="3322320" cy="2529840"/>
            <wp:effectExtent l="19050" t="0" r="0" b="0"/>
            <wp:docPr id="41" name="Picture 41" descr="Fig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igure 4-18"/>
                    <pic:cNvPicPr>
                      <a:picLocks noChangeAspect="1" noChangeArrowheads="1"/>
                    </pic:cNvPicPr>
                  </pic:nvPicPr>
                  <pic:blipFill>
                    <a:blip r:embed="rId53"/>
                    <a:srcRect/>
                    <a:stretch>
                      <a:fillRect/>
                    </a:stretch>
                  </pic:blipFill>
                  <pic:spPr bwMode="auto">
                    <a:xfrm>
                      <a:off x="0" y="0"/>
                      <a:ext cx="3322320" cy="2529840"/>
                    </a:xfrm>
                    <a:prstGeom prst="rect">
                      <a:avLst/>
                    </a:prstGeom>
                    <a:noFill/>
                    <a:ln w="9525">
                      <a:noFill/>
                      <a:miter lim="800000"/>
                      <a:headEnd/>
                      <a:tailEnd/>
                    </a:ln>
                  </pic:spPr>
                </pic:pic>
              </a:graphicData>
            </a:graphic>
          </wp:inline>
        </w:drawing>
      </w:r>
    </w:p>
    <w:p w:rsidR="00000000" w:rsidRDefault="00D35856">
      <w:pPr>
        <w:pStyle w:val="Heading2"/>
        <w:numPr>
          <w:ilvl w:val="1"/>
          <w:numId w:val="3"/>
        </w:numPr>
        <w:tabs>
          <w:tab w:val="clear" w:pos="1296"/>
        </w:tabs>
        <w:ind w:left="567" w:hanging="567"/>
        <w:rPr>
          <w:color w:val="auto"/>
        </w:rPr>
      </w:pPr>
      <w:bookmarkStart w:id="237" w:name="_Toc187737296"/>
      <w:bookmarkStart w:id="238" w:name="_Toc199933765"/>
      <w:r>
        <w:rPr>
          <w:color w:val="auto"/>
        </w:rPr>
        <w:lastRenderedPageBreak/>
        <w:t>Summary</w:t>
      </w:r>
      <w:bookmarkEnd w:id="237"/>
      <w:r>
        <w:rPr>
          <w:color w:val="auto"/>
        </w:rPr>
        <w:t xml:space="preserve"> of costs and benefits</w:t>
      </w:r>
      <w:bookmarkEnd w:id="238"/>
    </w:p>
    <w:p w:rsidR="00000000" w:rsidRDefault="00D35856">
      <w:pPr>
        <w:pStyle w:val="Heading3"/>
        <w:keepNext w:val="0"/>
        <w:numPr>
          <w:ilvl w:val="2"/>
          <w:numId w:val="3"/>
        </w:numPr>
        <w:tabs>
          <w:tab w:val="clear" w:pos="1440"/>
        </w:tabs>
        <w:ind w:left="851" w:hanging="851"/>
        <w:rPr>
          <w:color w:val="auto"/>
        </w:rPr>
      </w:pPr>
      <w:bookmarkStart w:id="239" w:name="_Toc199933766"/>
      <w:r>
        <w:rPr>
          <w:color w:val="auto"/>
        </w:rPr>
        <w:t>Distribution of costs and benefits by stakeholder group</w:t>
      </w:r>
      <w:bookmarkEnd w:id="239"/>
    </w:p>
    <w:p w:rsidR="00000000" w:rsidRDefault="00D35856">
      <w:pPr>
        <w:keepNext w:val="0"/>
        <w:widowControl w:val="0"/>
      </w:pPr>
      <w:r>
        <w:t xml:space="preserve">A summary of the costs and benefits from </w:t>
      </w:r>
      <w:smartTag w:uri="urn:schemas-microsoft-com:office:smarttags" w:element="City">
        <w:r>
          <w:t>WELS</w:t>
        </w:r>
      </w:smartTag>
      <w:r>
        <w:t xml:space="preserve"> divided by stakeholder group is listed in </w:t>
      </w:r>
      <w:fldSimple w:instr=" REF _Ref188079728 \h  \* MERGEFORMAT ">
        <w:r>
          <w:t xml:space="preserve">Table </w:t>
        </w:r>
        <w:r>
          <w:rPr>
            <w:noProof/>
          </w:rPr>
          <w:t>4</w:t>
        </w:r>
        <w:r>
          <w:rPr>
            <w:noProof/>
          </w:rPr>
          <w:noBreakHyphen/>
          <w:t>14</w:t>
        </w:r>
      </w:fldSimple>
      <w:r>
        <w:t xml:space="preserve">. These costs and benefits are based on various assumptions and projections as detailed in chapter 4. </w:t>
      </w:r>
    </w:p>
    <w:p w:rsidR="00000000" w:rsidRDefault="00D35856">
      <w:pPr>
        <w:keepNext w:val="0"/>
        <w:widowControl w:val="0"/>
      </w:pPr>
      <w:r>
        <w:t xml:space="preserve">In NPV terms (2007 dollars), </w:t>
      </w:r>
      <w:smartTag w:uri="urn:schemas-microsoft-com:office:smarttags" w:element="City">
        <w:r>
          <w:t>WELS</w:t>
        </w:r>
      </w:smartTag>
      <w:r>
        <w:t xml:space="preserve"> is estimated to re</w:t>
      </w:r>
      <w:r>
        <w:t>sult in a net cost to the Department of around $11.4m million dollars (see KPMG (2008) for more details on options for future cost-recovery requirements). Suppliers are estimated to incur a net cost of $15.9m, mainly due to labelling costs and registration</w:t>
      </w:r>
      <w:r>
        <w:t xml:space="preserve"> fees. The cost of reduced water revenue should be viewed in the context of potentially avoided infrastructure expenditure and the broader objectives and performance indicators of water businesses beyond ensuring revenue streams.</w:t>
      </w:r>
    </w:p>
    <w:p w:rsidR="00000000" w:rsidRDefault="00D35856">
      <w:pPr>
        <w:keepNext w:val="0"/>
        <w:widowControl w:val="0"/>
      </w:pPr>
      <w:r>
        <w:t>End-users of WELS products</w:t>
      </w:r>
      <w:r>
        <w:t xml:space="preserve"> are by far the greatest beneficiaries, estimated to save over $1 billion in water and energy bills to 2020—2021. Globally, the avoided greenhouse gas emissions associated with avoided water heating requirements are also projected to be significant, valued</w:t>
      </w:r>
      <w:r>
        <w:t xml:space="preserve"> at around $153 million (assuming a carbon price of $50/t CO</w:t>
      </w:r>
      <w:r>
        <w:rPr>
          <w:vertAlign w:val="subscript"/>
        </w:rPr>
        <w:t>2</w:t>
      </w:r>
      <w:r>
        <w:t>).</w:t>
      </w:r>
    </w:p>
    <w:p w:rsidR="00000000" w:rsidRDefault="00D35856">
      <w:pPr>
        <w:pStyle w:val="Caption"/>
        <w:keepNext w:val="0"/>
      </w:pPr>
      <w:bookmarkStart w:id="240" w:name="_Ref188079728"/>
      <w:bookmarkStart w:id="241" w:name="_Toc199933807"/>
      <w:r>
        <w:t xml:space="preserve">Table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Table \* ARABIC \s 1 </w:instrText>
      </w:r>
      <w:r>
        <w:fldChar w:fldCharType="separate"/>
      </w:r>
      <w:r>
        <w:rPr>
          <w:noProof/>
        </w:rPr>
        <w:t>14</w:t>
      </w:r>
      <w:r>
        <w:fldChar w:fldCharType="end"/>
      </w:r>
      <w:bookmarkEnd w:id="240"/>
      <w:r>
        <w:t>: Summary of costs and benefits by stakeholder group – NPV (2005—2006 to 2020—2021)</w:t>
      </w:r>
      <w:bookmarkEnd w:id="241"/>
    </w:p>
    <w:tbl>
      <w:tblPr>
        <w:tblStyle w:val="TableGrid"/>
        <w:tblW w:w="0" w:type="auto"/>
        <w:tblLook w:val="01E0"/>
      </w:tblPr>
      <w:tblGrid>
        <w:gridCol w:w="1384"/>
        <w:gridCol w:w="1708"/>
        <w:gridCol w:w="1411"/>
        <w:gridCol w:w="1464"/>
        <w:gridCol w:w="1208"/>
        <w:gridCol w:w="1438"/>
      </w:tblGrid>
      <w:tr w:rsidR="00000000">
        <w:trPr>
          <w:trHeight w:val="220"/>
        </w:trPr>
        <w:tc>
          <w:tcPr>
            <w:tcW w:w="1384" w:type="dxa"/>
            <w:vMerge w:val="restart"/>
            <w:tcBorders>
              <w:top w:val="single" w:sz="12" w:space="0" w:color="auto"/>
              <w:left w:val="single" w:sz="12" w:space="0" w:color="auto"/>
              <w:bottom w:val="single" w:sz="12" w:space="0" w:color="auto"/>
              <w:right w:val="single" w:sz="12" w:space="0" w:color="auto"/>
            </w:tcBorders>
            <w:shd w:val="clear" w:color="auto" w:fill="CCCCCC"/>
          </w:tcPr>
          <w:p w:rsidR="00000000" w:rsidRDefault="00D35856">
            <w:pPr>
              <w:keepNext w:val="0"/>
              <w:widowControl w:val="0"/>
              <w:spacing w:after="0"/>
              <w:rPr>
                <w:b/>
                <w:sz w:val="20"/>
              </w:rPr>
            </w:pPr>
            <w:r>
              <w:rPr>
                <w:rFonts w:ascii="Arial" w:hAnsi="Arial"/>
                <w:b/>
                <w:sz w:val="20"/>
              </w:rPr>
              <w:t>Stakeholder</w:t>
            </w:r>
          </w:p>
        </w:tc>
        <w:tc>
          <w:tcPr>
            <w:tcW w:w="3119" w:type="dxa"/>
            <w:gridSpan w:val="2"/>
            <w:tcBorders>
              <w:top w:val="single" w:sz="12" w:space="0" w:color="auto"/>
              <w:left w:val="single" w:sz="12" w:space="0" w:color="auto"/>
            </w:tcBorders>
            <w:shd w:val="clear" w:color="auto" w:fill="CCCCCC"/>
          </w:tcPr>
          <w:p w:rsidR="00000000" w:rsidRDefault="00D35856">
            <w:pPr>
              <w:keepNext w:val="0"/>
              <w:widowControl w:val="0"/>
              <w:spacing w:after="0"/>
              <w:jc w:val="center"/>
              <w:rPr>
                <w:rFonts w:ascii="Arial" w:hAnsi="Arial"/>
                <w:b/>
                <w:sz w:val="20"/>
              </w:rPr>
            </w:pPr>
            <w:r>
              <w:rPr>
                <w:rFonts w:ascii="Arial" w:hAnsi="Arial"/>
                <w:b/>
                <w:sz w:val="20"/>
              </w:rPr>
              <w:t>Costs</w:t>
            </w:r>
          </w:p>
        </w:tc>
        <w:tc>
          <w:tcPr>
            <w:tcW w:w="2672" w:type="dxa"/>
            <w:gridSpan w:val="2"/>
            <w:tcBorders>
              <w:top w:val="single" w:sz="12" w:space="0" w:color="auto"/>
            </w:tcBorders>
            <w:shd w:val="clear" w:color="auto" w:fill="CCCCCC"/>
          </w:tcPr>
          <w:p w:rsidR="00000000" w:rsidRDefault="00D35856">
            <w:pPr>
              <w:keepNext w:val="0"/>
              <w:widowControl w:val="0"/>
              <w:spacing w:after="0"/>
              <w:jc w:val="center"/>
              <w:rPr>
                <w:rFonts w:ascii="Arial" w:hAnsi="Arial"/>
                <w:b/>
                <w:sz w:val="20"/>
              </w:rPr>
            </w:pPr>
            <w:r>
              <w:rPr>
                <w:rFonts w:ascii="Arial" w:hAnsi="Arial"/>
                <w:b/>
                <w:sz w:val="20"/>
              </w:rPr>
              <w:t>Benefits</w:t>
            </w:r>
          </w:p>
        </w:tc>
        <w:tc>
          <w:tcPr>
            <w:tcW w:w="1438" w:type="dxa"/>
            <w:tcBorders>
              <w:top w:val="single" w:sz="12" w:space="0" w:color="auto"/>
              <w:right w:val="single" w:sz="12" w:space="0" w:color="auto"/>
            </w:tcBorders>
            <w:shd w:val="clear" w:color="auto" w:fill="CCCCCC"/>
          </w:tcPr>
          <w:p w:rsidR="00000000" w:rsidRDefault="00D35856">
            <w:pPr>
              <w:keepNext w:val="0"/>
              <w:widowControl w:val="0"/>
              <w:spacing w:after="0"/>
              <w:rPr>
                <w:rFonts w:ascii="Arial" w:hAnsi="Arial"/>
                <w:b/>
                <w:sz w:val="20"/>
              </w:rPr>
            </w:pPr>
            <w:r>
              <w:rPr>
                <w:rFonts w:ascii="Arial" w:hAnsi="Arial"/>
                <w:b/>
                <w:sz w:val="20"/>
              </w:rPr>
              <w:t xml:space="preserve">Net </w:t>
            </w:r>
          </w:p>
        </w:tc>
      </w:tr>
      <w:tr w:rsidR="00000000">
        <w:trPr>
          <w:trHeight w:val="218"/>
        </w:trPr>
        <w:tc>
          <w:tcPr>
            <w:tcW w:w="1384" w:type="dxa"/>
            <w:vMerge/>
            <w:tcBorders>
              <w:left w:val="single" w:sz="12" w:space="0" w:color="auto"/>
              <w:bottom w:val="single" w:sz="12" w:space="0" w:color="auto"/>
              <w:right w:val="single" w:sz="12" w:space="0" w:color="auto"/>
            </w:tcBorders>
            <w:shd w:val="clear" w:color="auto" w:fill="CCCCCC"/>
          </w:tcPr>
          <w:p w:rsidR="00000000" w:rsidRDefault="00D35856">
            <w:pPr>
              <w:keepNext w:val="0"/>
              <w:widowControl w:val="0"/>
              <w:spacing w:after="0"/>
              <w:rPr>
                <w:rFonts w:ascii="Arial" w:hAnsi="Arial"/>
              </w:rPr>
            </w:pPr>
          </w:p>
        </w:tc>
        <w:tc>
          <w:tcPr>
            <w:tcW w:w="1708" w:type="dxa"/>
            <w:tcBorders>
              <w:left w:val="single" w:sz="12" w:space="0" w:color="auto"/>
              <w:bottom w:val="single" w:sz="12" w:space="0" w:color="auto"/>
            </w:tcBorders>
            <w:shd w:val="clear" w:color="auto" w:fill="CCCCCC"/>
          </w:tcPr>
          <w:p w:rsidR="00000000" w:rsidRDefault="00D35856">
            <w:pPr>
              <w:keepNext w:val="0"/>
              <w:widowControl w:val="0"/>
              <w:spacing w:after="0"/>
            </w:pPr>
            <w:r>
              <w:rPr>
                <w:rFonts w:ascii="Arial" w:hAnsi="Arial"/>
              </w:rPr>
              <w:t>Description</w:t>
            </w:r>
          </w:p>
        </w:tc>
        <w:tc>
          <w:tcPr>
            <w:tcW w:w="1411" w:type="dxa"/>
            <w:tcBorders>
              <w:bottom w:val="single" w:sz="12" w:space="0" w:color="auto"/>
            </w:tcBorders>
            <w:shd w:val="clear" w:color="auto" w:fill="CCCCCC"/>
          </w:tcPr>
          <w:p w:rsidR="00000000" w:rsidRDefault="00D35856">
            <w:pPr>
              <w:keepNext w:val="0"/>
              <w:widowControl w:val="0"/>
              <w:spacing w:after="0"/>
            </w:pPr>
            <w:r>
              <w:rPr>
                <w:rFonts w:ascii="Arial" w:hAnsi="Arial"/>
              </w:rPr>
              <w:t xml:space="preserve">NPV </w:t>
            </w:r>
          </w:p>
        </w:tc>
        <w:tc>
          <w:tcPr>
            <w:tcW w:w="1464" w:type="dxa"/>
            <w:tcBorders>
              <w:bottom w:val="single" w:sz="12" w:space="0" w:color="auto"/>
            </w:tcBorders>
            <w:shd w:val="clear" w:color="auto" w:fill="CCCCCC"/>
          </w:tcPr>
          <w:p w:rsidR="00000000" w:rsidRDefault="00D35856">
            <w:pPr>
              <w:keepNext w:val="0"/>
              <w:widowControl w:val="0"/>
              <w:spacing w:after="0"/>
            </w:pPr>
            <w:r>
              <w:rPr>
                <w:rFonts w:ascii="Arial" w:hAnsi="Arial"/>
              </w:rPr>
              <w:t>Description</w:t>
            </w:r>
          </w:p>
        </w:tc>
        <w:tc>
          <w:tcPr>
            <w:tcW w:w="1208" w:type="dxa"/>
            <w:tcBorders>
              <w:bottom w:val="single" w:sz="12" w:space="0" w:color="auto"/>
            </w:tcBorders>
            <w:shd w:val="clear" w:color="auto" w:fill="CCCCCC"/>
          </w:tcPr>
          <w:p w:rsidR="00000000" w:rsidRDefault="00D35856">
            <w:pPr>
              <w:keepNext w:val="0"/>
              <w:widowControl w:val="0"/>
              <w:spacing w:after="0"/>
            </w:pPr>
            <w:r>
              <w:rPr>
                <w:rFonts w:ascii="Arial" w:hAnsi="Arial"/>
              </w:rPr>
              <w:t>NPV $</w:t>
            </w:r>
          </w:p>
        </w:tc>
        <w:tc>
          <w:tcPr>
            <w:tcW w:w="1438" w:type="dxa"/>
            <w:tcBorders>
              <w:bottom w:val="single" w:sz="12" w:space="0" w:color="auto"/>
              <w:right w:val="single" w:sz="12" w:space="0" w:color="auto"/>
            </w:tcBorders>
            <w:shd w:val="clear" w:color="auto" w:fill="CCCCCC"/>
          </w:tcPr>
          <w:p w:rsidR="00000000" w:rsidRDefault="00D35856">
            <w:pPr>
              <w:keepNext w:val="0"/>
              <w:widowControl w:val="0"/>
              <w:spacing w:after="0"/>
            </w:pPr>
            <w:r>
              <w:rPr>
                <w:rFonts w:ascii="Arial" w:hAnsi="Arial"/>
              </w:rPr>
              <w:t>NPV</w:t>
            </w:r>
          </w:p>
        </w:tc>
      </w:tr>
      <w:tr w:rsidR="00000000">
        <w:tc>
          <w:tcPr>
            <w:tcW w:w="1384" w:type="dxa"/>
            <w:tcBorders>
              <w:top w:val="single" w:sz="12" w:space="0" w:color="auto"/>
              <w:left w:val="single" w:sz="12" w:space="0" w:color="auto"/>
              <w:bottom w:val="single" w:sz="12" w:space="0" w:color="auto"/>
              <w:right w:val="single" w:sz="12" w:space="0" w:color="auto"/>
            </w:tcBorders>
          </w:tcPr>
          <w:p w:rsidR="00000000" w:rsidRDefault="00D35856">
            <w:pPr>
              <w:keepNext w:val="0"/>
              <w:widowControl w:val="0"/>
              <w:spacing w:after="0"/>
              <w:rPr>
                <w:b/>
                <w:sz w:val="18"/>
              </w:rPr>
            </w:pPr>
            <w:r>
              <w:rPr>
                <w:rFonts w:ascii="Arial" w:hAnsi="Arial"/>
                <w:b/>
                <w:sz w:val="18"/>
              </w:rPr>
              <w:t>DEWHA</w:t>
            </w:r>
          </w:p>
        </w:tc>
        <w:tc>
          <w:tcPr>
            <w:tcW w:w="1708" w:type="dxa"/>
            <w:tcBorders>
              <w:top w:val="single" w:sz="12" w:space="0" w:color="auto"/>
              <w:left w:val="single" w:sz="12" w:space="0" w:color="auto"/>
              <w:bottom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szCs w:val="18"/>
              </w:rPr>
              <w:t>Administration cost</w:t>
            </w:r>
          </w:p>
        </w:tc>
        <w:tc>
          <w:tcPr>
            <w:tcW w:w="1411" w:type="dxa"/>
            <w:tcBorders>
              <w:top w:val="single" w:sz="12" w:space="0" w:color="auto"/>
              <w:bottom w:val="single" w:sz="12" w:space="0" w:color="auto"/>
              <w:right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szCs w:val="18"/>
              </w:rPr>
              <w:t>$16.1m</w:t>
            </w:r>
          </w:p>
        </w:tc>
        <w:tc>
          <w:tcPr>
            <w:tcW w:w="1464" w:type="dxa"/>
            <w:tcBorders>
              <w:top w:val="single" w:sz="12" w:space="0" w:color="auto"/>
              <w:left w:val="single" w:sz="12" w:space="0" w:color="auto"/>
              <w:bottom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szCs w:val="18"/>
              </w:rPr>
              <w:t xml:space="preserve">Fee revenue </w:t>
            </w:r>
          </w:p>
        </w:tc>
        <w:tc>
          <w:tcPr>
            <w:tcW w:w="1208" w:type="dxa"/>
            <w:tcBorders>
              <w:top w:val="single" w:sz="12" w:space="0" w:color="auto"/>
              <w:bottom w:val="single" w:sz="12" w:space="0" w:color="auto"/>
              <w:right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rPr>
              <w:t>$4.7m</w:t>
            </w:r>
          </w:p>
        </w:tc>
        <w:tc>
          <w:tcPr>
            <w:tcW w:w="1438" w:type="dxa"/>
            <w:tcBorders>
              <w:top w:val="single" w:sz="12" w:space="0" w:color="auto"/>
              <w:left w:val="single" w:sz="12" w:space="0" w:color="auto"/>
              <w:bottom w:val="single" w:sz="12" w:space="0" w:color="auto"/>
              <w:right w:val="single" w:sz="12" w:space="0" w:color="auto"/>
            </w:tcBorders>
          </w:tcPr>
          <w:p w:rsidR="00000000" w:rsidRDefault="00D35856">
            <w:pPr>
              <w:keepNext w:val="0"/>
              <w:widowControl w:val="0"/>
              <w:spacing w:after="0"/>
              <w:jc w:val="left"/>
              <w:rPr>
                <w:rFonts w:ascii="Arial" w:hAnsi="Arial" w:cs="Arial"/>
                <w:b/>
                <w:sz w:val="18"/>
              </w:rPr>
            </w:pPr>
            <w:r>
              <w:rPr>
                <w:rFonts w:ascii="Arial" w:hAnsi="Arial" w:cs="Arial"/>
                <w:b/>
                <w:sz w:val="18"/>
              </w:rPr>
              <w:t>– $11.4m</w:t>
            </w:r>
          </w:p>
        </w:tc>
      </w:tr>
      <w:tr w:rsidR="00000000">
        <w:tc>
          <w:tcPr>
            <w:tcW w:w="1384" w:type="dxa"/>
            <w:vMerge w:val="restart"/>
            <w:tcBorders>
              <w:top w:val="single" w:sz="12" w:space="0" w:color="auto"/>
              <w:left w:val="single" w:sz="12" w:space="0" w:color="auto"/>
              <w:right w:val="single" w:sz="12" w:space="0" w:color="auto"/>
            </w:tcBorders>
          </w:tcPr>
          <w:p w:rsidR="00000000" w:rsidRDefault="00D35856">
            <w:pPr>
              <w:keepNext w:val="0"/>
              <w:widowControl w:val="0"/>
              <w:spacing w:after="0"/>
              <w:rPr>
                <w:rFonts w:ascii="Arial" w:hAnsi="Arial"/>
                <w:b/>
                <w:sz w:val="18"/>
              </w:rPr>
            </w:pPr>
            <w:r>
              <w:rPr>
                <w:rFonts w:ascii="Arial" w:hAnsi="Arial"/>
                <w:b/>
                <w:sz w:val="18"/>
              </w:rPr>
              <w:t>Suppliers</w:t>
            </w:r>
          </w:p>
        </w:tc>
        <w:tc>
          <w:tcPr>
            <w:tcW w:w="1708" w:type="dxa"/>
            <w:tcBorders>
              <w:top w:val="single" w:sz="12" w:space="0" w:color="auto"/>
              <w:left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szCs w:val="18"/>
              </w:rPr>
              <w:t xml:space="preserve">Registration fees </w:t>
            </w:r>
          </w:p>
        </w:tc>
        <w:tc>
          <w:tcPr>
            <w:tcW w:w="1411" w:type="dxa"/>
            <w:tcBorders>
              <w:top w:val="single" w:sz="12" w:space="0" w:color="auto"/>
              <w:right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szCs w:val="18"/>
              </w:rPr>
              <w:t>$4.7m</w:t>
            </w:r>
          </w:p>
        </w:tc>
        <w:tc>
          <w:tcPr>
            <w:tcW w:w="1464" w:type="dxa"/>
            <w:vMerge w:val="restart"/>
            <w:tcBorders>
              <w:top w:val="single" w:sz="12" w:space="0" w:color="auto"/>
              <w:left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szCs w:val="18"/>
              </w:rPr>
              <w:t>Increase in revenue from increased prices</w:t>
            </w:r>
          </w:p>
        </w:tc>
        <w:tc>
          <w:tcPr>
            <w:tcW w:w="1208" w:type="dxa"/>
            <w:vMerge w:val="restart"/>
            <w:tcBorders>
              <w:top w:val="single" w:sz="12" w:space="0" w:color="auto"/>
              <w:right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szCs w:val="18"/>
              </w:rPr>
              <w:t>Assumed negligible</w:t>
            </w:r>
          </w:p>
        </w:tc>
        <w:tc>
          <w:tcPr>
            <w:tcW w:w="1438" w:type="dxa"/>
            <w:vMerge w:val="restart"/>
            <w:tcBorders>
              <w:top w:val="single" w:sz="12" w:space="0" w:color="auto"/>
              <w:left w:val="single" w:sz="12" w:space="0" w:color="auto"/>
              <w:right w:val="single" w:sz="12" w:space="0" w:color="auto"/>
            </w:tcBorders>
          </w:tcPr>
          <w:p w:rsidR="00000000" w:rsidRDefault="00D35856">
            <w:pPr>
              <w:keepNext w:val="0"/>
              <w:widowControl w:val="0"/>
              <w:spacing w:after="0"/>
              <w:jc w:val="left"/>
              <w:rPr>
                <w:rFonts w:ascii="Arial" w:hAnsi="Arial" w:cs="Arial"/>
                <w:b/>
                <w:sz w:val="18"/>
              </w:rPr>
            </w:pPr>
            <w:r>
              <w:rPr>
                <w:rFonts w:ascii="Arial" w:hAnsi="Arial" w:cs="Arial"/>
                <w:b/>
                <w:sz w:val="18"/>
              </w:rPr>
              <w:t>– $15.9m</w:t>
            </w:r>
          </w:p>
        </w:tc>
      </w:tr>
      <w:tr w:rsidR="00000000">
        <w:tc>
          <w:tcPr>
            <w:tcW w:w="1384" w:type="dxa"/>
            <w:vMerge/>
            <w:tcBorders>
              <w:left w:val="single" w:sz="12" w:space="0" w:color="auto"/>
              <w:right w:val="single" w:sz="12" w:space="0" w:color="auto"/>
            </w:tcBorders>
          </w:tcPr>
          <w:p w:rsidR="00000000" w:rsidRDefault="00D35856">
            <w:pPr>
              <w:keepNext w:val="0"/>
              <w:widowControl w:val="0"/>
              <w:spacing w:after="0"/>
              <w:rPr>
                <w:b/>
                <w:sz w:val="18"/>
              </w:rPr>
            </w:pPr>
          </w:p>
        </w:tc>
        <w:tc>
          <w:tcPr>
            <w:tcW w:w="1708" w:type="dxa"/>
            <w:tcBorders>
              <w:left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szCs w:val="18"/>
              </w:rPr>
              <w:t>Registration process</w:t>
            </w:r>
          </w:p>
        </w:tc>
        <w:tc>
          <w:tcPr>
            <w:tcW w:w="1411" w:type="dxa"/>
            <w:tcBorders>
              <w:right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szCs w:val="18"/>
              </w:rPr>
              <w:t>$1.9m</w:t>
            </w:r>
          </w:p>
        </w:tc>
        <w:tc>
          <w:tcPr>
            <w:tcW w:w="1464" w:type="dxa"/>
            <w:vMerge/>
            <w:tcBorders>
              <w:left w:val="single" w:sz="12" w:space="0" w:color="auto"/>
            </w:tcBorders>
          </w:tcPr>
          <w:p w:rsidR="00000000" w:rsidRDefault="00D35856">
            <w:pPr>
              <w:keepNext w:val="0"/>
              <w:widowControl w:val="0"/>
              <w:spacing w:after="0"/>
              <w:jc w:val="left"/>
              <w:rPr>
                <w:rFonts w:ascii="Arial" w:hAnsi="Arial" w:cs="Arial"/>
                <w:sz w:val="18"/>
                <w:szCs w:val="18"/>
              </w:rPr>
            </w:pPr>
          </w:p>
        </w:tc>
        <w:tc>
          <w:tcPr>
            <w:tcW w:w="1208" w:type="dxa"/>
            <w:vMerge/>
            <w:tcBorders>
              <w:right w:val="single" w:sz="12" w:space="0" w:color="auto"/>
            </w:tcBorders>
          </w:tcPr>
          <w:p w:rsidR="00000000" w:rsidRDefault="00D35856">
            <w:pPr>
              <w:keepNext w:val="0"/>
              <w:widowControl w:val="0"/>
              <w:spacing w:after="0"/>
              <w:jc w:val="left"/>
              <w:rPr>
                <w:rFonts w:ascii="Arial" w:hAnsi="Arial" w:cs="Arial"/>
                <w:sz w:val="18"/>
                <w:szCs w:val="18"/>
              </w:rPr>
            </w:pPr>
          </w:p>
        </w:tc>
        <w:tc>
          <w:tcPr>
            <w:tcW w:w="1438" w:type="dxa"/>
            <w:vMerge/>
            <w:tcBorders>
              <w:left w:val="single" w:sz="12" w:space="0" w:color="auto"/>
              <w:right w:val="single" w:sz="12" w:space="0" w:color="auto"/>
            </w:tcBorders>
          </w:tcPr>
          <w:p w:rsidR="00000000" w:rsidRDefault="00D35856">
            <w:pPr>
              <w:keepNext w:val="0"/>
              <w:widowControl w:val="0"/>
              <w:spacing w:after="0"/>
              <w:jc w:val="left"/>
              <w:rPr>
                <w:rFonts w:ascii="Arial" w:hAnsi="Arial" w:cs="Arial"/>
                <w:sz w:val="18"/>
              </w:rPr>
            </w:pPr>
          </w:p>
        </w:tc>
      </w:tr>
      <w:tr w:rsidR="00000000">
        <w:tc>
          <w:tcPr>
            <w:tcW w:w="1384" w:type="dxa"/>
            <w:vMerge/>
            <w:tcBorders>
              <w:left w:val="single" w:sz="12" w:space="0" w:color="auto"/>
              <w:right w:val="single" w:sz="12" w:space="0" w:color="auto"/>
            </w:tcBorders>
          </w:tcPr>
          <w:p w:rsidR="00000000" w:rsidRDefault="00D35856">
            <w:pPr>
              <w:keepNext w:val="0"/>
              <w:widowControl w:val="0"/>
              <w:spacing w:after="0"/>
              <w:rPr>
                <w:b/>
                <w:sz w:val="18"/>
              </w:rPr>
            </w:pPr>
          </w:p>
        </w:tc>
        <w:tc>
          <w:tcPr>
            <w:tcW w:w="1708" w:type="dxa"/>
            <w:tcBorders>
              <w:left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szCs w:val="18"/>
              </w:rPr>
              <w:t>Testing costs</w:t>
            </w:r>
          </w:p>
        </w:tc>
        <w:tc>
          <w:tcPr>
            <w:tcW w:w="1411" w:type="dxa"/>
            <w:tcBorders>
              <w:right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szCs w:val="18"/>
              </w:rPr>
              <w:t>$2.0m</w:t>
            </w:r>
          </w:p>
        </w:tc>
        <w:tc>
          <w:tcPr>
            <w:tcW w:w="1464" w:type="dxa"/>
            <w:vMerge/>
            <w:tcBorders>
              <w:left w:val="single" w:sz="12" w:space="0" w:color="auto"/>
            </w:tcBorders>
          </w:tcPr>
          <w:p w:rsidR="00000000" w:rsidRDefault="00D35856">
            <w:pPr>
              <w:keepNext w:val="0"/>
              <w:widowControl w:val="0"/>
              <w:spacing w:after="0"/>
              <w:jc w:val="left"/>
              <w:rPr>
                <w:rFonts w:ascii="Arial" w:hAnsi="Arial" w:cs="Arial"/>
                <w:sz w:val="18"/>
                <w:szCs w:val="18"/>
              </w:rPr>
            </w:pPr>
          </w:p>
        </w:tc>
        <w:tc>
          <w:tcPr>
            <w:tcW w:w="1208" w:type="dxa"/>
            <w:vMerge/>
            <w:tcBorders>
              <w:right w:val="single" w:sz="12" w:space="0" w:color="auto"/>
            </w:tcBorders>
          </w:tcPr>
          <w:p w:rsidR="00000000" w:rsidRDefault="00D35856">
            <w:pPr>
              <w:keepNext w:val="0"/>
              <w:widowControl w:val="0"/>
              <w:spacing w:after="0"/>
              <w:jc w:val="left"/>
              <w:rPr>
                <w:rFonts w:ascii="Arial" w:hAnsi="Arial" w:cs="Arial"/>
                <w:sz w:val="18"/>
                <w:szCs w:val="18"/>
              </w:rPr>
            </w:pPr>
          </w:p>
        </w:tc>
        <w:tc>
          <w:tcPr>
            <w:tcW w:w="1438" w:type="dxa"/>
            <w:vMerge/>
            <w:tcBorders>
              <w:left w:val="single" w:sz="12" w:space="0" w:color="auto"/>
              <w:right w:val="single" w:sz="12" w:space="0" w:color="auto"/>
            </w:tcBorders>
          </w:tcPr>
          <w:p w:rsidR="00000000" w:rsidRDefault="00D35856">
            <w:pPr>
              <w:keepNext w:val="0"/>
              <w:widowControl w:val="0"/>
              <w:spacing w:after="0"/>
              <w:jc w:val="left"/>
              <w:rPr>
                <w:rFonts w:ascii="Arial" w:hAnsi="Arial" w:cs="Arial"/>
                <w:sz w:val="18"/>
              </w:rPr>
            </w:pPr>
          </w:p>
        </w:tc>
      </w:tr>
      <w:tr w:rsidR="00000000">
        <w:tc>
          <w:tcPr>
            <w:tcW w:w="1384" w:type="dxa"/>
            <w:vMerge/>
            <w:tcBorders>
              <w:left w:val="single" w:sz="12" w:space="0" w:color="auto"/>
              <w:bottom w:val="single" w:sz="12" w:space="0" w:color="auto"/>
              <w:right w:val="single" w:sz="12" w:space="0" w:color="auto"/>
            </w:tcBorders>
          </w:tcPr>
          <w:p w:rsidR="00000000" w:rsidRDefault="00D35856">
            <w:pPr>
              <w:keepNext w:val="0"/>
              <w:widowControl w:val="0"/>
              <w:spacing w:after="0"/>
              <w:rPr>
                <w:b/>
                <w:sz w:val="18"/>
              </w:rPr>
            </w:pPr>
          </w:p>
        </w:tc>
        <w:tc>
          <w:tcPr>
            <w:tcW w:w="1708" w:type="dxa"/>
            <w:tcBorders>
              <w:left w:val="single" w:sz="12" w:space="0" w:color="auto"/>
              <w:bottom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szCs w:val="18"/>
              </w:rPr>
              <w:t>Labelling costs</w:t>
            </w:r>
          </w:p>
        </w:tc>
        <w:tc>
          <w:tcPr>
            <w:tcW w:w="1411" w:type="dxa"/>
            <w:tcBorders>
              <w:bottom w:val="single" w:sz="12" w:space="0" w:color="auto"/>
              <w:right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szCs w:val="18"/>
              </w:rPr>
              <w:t>$7.3m</w:t>
            </w:r>
          </w:p>
        </w:tc>
        <w:tc>
          <w:tcPr>
            <w:tcW w:w="1464" w:type="dxa"/>
            <w:vMerge/>
            <w:tcBorders>
              <w:left w:val="single" w:sz="12" w:space="0" w:color="auto"/>
              <w:bottom w:val="single" w:sz="12" w:space="0" w:color="auto"/>
            </w:tcBorders>
          </w:tcPr>
          <w:p w:rsidR="00000000" w:rsidRDefault="00D35856">
            <w:pPr>
              <w:keepNext w:val="0"/>
              <w:widowControl w:val="0"/>
              <w:spacing w:after="0"/>
              <w:jc w:val="left"/>
              <w:rPr>
                <w:rFonts w:ascii="Arial" w:hAnsi="Arial" w:cs="Arial"/>
                <w:sz w:val="18"/>
                <w:szCs w:val="18"/>
              </w:rPr>
            </w:pPr>
          </w:p>
        </w:tc>
        <w:tc>
          <w:tcPr>
            <w:tcW w:w="1208" w:type="dxa"/>
            <w:vMerge/>
            <w:tcBorders>
              <w:bottom w:val="single" w:sz="12" w:space="0" w:color="auto"/>
              <w:right w:val="single" w:sz="12" w:space="0" w:color="auto"/>
            </w:tcBorders>
          </w:tcPr>
          <w:p w:rsidR="00000000" w:rsidRDefault="00D35856">
            <w:pPr>
              <w:keepNext w:val="0"/>
              <w:widowControl w:val="0"/>
              <w:spacing w:after="0"/>
              <w:jc w:val="left"/>
              <w:rPr>
                <w:rFonts w:ascii="Arial" w:hAnsi="Arial" w:cs="Arial"/>
                <w:sz w:val="18"/>
                <w:szCs w:val="18"/>
              </w:rPr>
            </w:pPr>
          </w:p>
        </w:tc>
        <w:tc>
          <w:tcPr>
            <w:tcW w:w="1438" w:type="dxa"/>
            <w:vMerge/>
            <w:tcBorders>
              <w:left w:val="single" w:sz="12" w:space="0" w:color="auto"/>
              <w:bottom w:val="single" w:sz="12" w:space="0" w:color="auto"/>
              <w:right w:val="single" w:sz="12" w:space="0" w:color="auto"/>
            </w:tcBorders>
          </w:tcPr>
          <w:p w:rsidR="00000000" w:rsidRDefault="00D35856">
            <w:pPr>
              <w:keepNext w:val="0"/>
              <w:widowControl w:val="0"/>
              <w:spacing w:after="0"/>
              <w:jc w:val="left"/>
              <w:rPr>
                <w:rFonts w:ascii="Arial" w:hAnsi="Arial" w:cs="Arial"/>
                <w:sz w:val="18"/>
              </w:rPr>
            </w:pPr>
          </w:p>
        </w:tc>
      </w:tr>
      <w:tr w:rsidR="00000000">
        <w:tc>
          <w:tcPr>
            <w:tcW w:w="1384" w:type="dxa"/>
            <w:tcBorders>
              <w:top w:val="single" w:sz="12" w:space="0" w:color="auto"/>
              <w:left w:val="single" w:sz="12" w:space="0" w:color="auto"/>
              <w:bottom w:val="nil"/>
              <w:right w:val="single" w:sz="12" w:space="0" w:color="auto"/>
            </w:tcBorders>
          </w:tcPr>
          <w:p w:rsidR="00000000" w:rsidRDefault="00D35856">
            <w:pPr>
              <w:keepNext w:val="0"/>
              <w:widowControl w:val="0"/>
              <w:spacing w:after="0"/>
              <w:rPr>
                <w:b/>
                <w:sz w:val="18"/>
              </w:rPr>
            </w:pPr>
            <w:r>
              <w:rPr>
                <w:rFonts w:ascii="Arial" w:hAnsi="Arial"/>
                <w:b/>
                <w:sz w:val="18"/>
              </w:rPr>
              <w:t>Retailers</w:t>
            </w:r>
          </w:p>
        </w:tc>
        <w:tc>
          <w:tcPr>
            <w:tcW w:w="1708" w:type="dxa"/>
            <w:tcBorders>
              <w:top w:val="single" w:sz="12" w:space="0" w:color="auto"/>
              <w:left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szCs w:val="18"/>
              </w:rPr>
              <w:t>Costs of selling unlabelled stock</w:t>
            </w:r>
          </w:p>
        </w:tc>
        <w:tc>
          <w:tcPr>
            <w:tcW w:w="1411" w:type="dxa"/>
            <w:tcBorders>
              <w:top w:val="single" w:sz="12" w:space="0" w:color="auto"/>
              <w:right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szCs w:val="18"/>
              </w:rPr>
              <w:t>Not estimated</w:t>
            </w:r>
          </w:p>
        </w:tc>
        <w:tc>
          <w:tcPr>
            <w:tcW w:w="1464" w:type="dxa"/>
            <w:vMerge w:val="restart"/>
            <w:tcBorders>
              <w:top w:val="single" w:sz="12" w:space="0" w:color="auto"/>
              <w:left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szCs w:val="18"/>
              </w:rPr>
              <w:t xml:space="preserve">Increase in revenue from increased prices </w:t>
            </w:r>
          </w:p>
        </w:tc>
        <w:tc>
          <w:tcPr>
            <w:tcW w:w="1208" w:type="dxa"/>
            <w:vMerge w:val="restart"/>
            <w:tcBorders>
              <w:top w:val="single" w:sz="12" w:space="0" w:color="auto"/>
              <w:right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szCs w:val="18"/>
              </w:rPr>
              <w:t>Assumed negligible</w:t>
            </w:r>
          </w:p>
        </w:tc>
        <w:tc>
          <w:tcPr>
            <w:tcW w:w="1438" w:type="dxa"/>
            <w:vMerge w:val="restart"/>
            <w:tcBorders>
              <w:top w:val="single" w:sz="12" w:space="0" w:color="auto"/>
              <w:left w:val="single" w:sz="12" w:space="0" w:color="auto"/>
              <w:right w:val="single" w:sz="12" w:space="0" w:color="auto"/>
            </w:tcBorders>
          </w:tcPr>
          <w:p w:rsidR="00000000" w:rsidRDefault="00D35856">
            <w:pPr>
              <w:keepNext w:val="0"/>
              <w:widowControl w:val="0"/>
              <w:spacing w:after="0"/>
              <w:jc w:val="left"/>
              <w:rPr>
                <w:rFonts w:ascii="Arial" w:hAnsi="Arial" w:cs="Arial"/>
                <w:sz w:val="18"/>
              </w:rPr>
            </w:pPr>
            <w:r>
              <w:rPr>
                <w:rFonts w:ascii="Arial" w:hAnsi="Arial" w:cs="Arial"/>
                <w:sz w:val="18"/>
              </w:rPr>
              <w:t>Estimation not possible</w:t>
            </w:r>
          </w:p>
        </w:tc>
      </w:tr>
      <w:tr w:rsidR="00000000">
        <w:tc>
          <w:tcPr>
            <w:tcW w:w="1384" w:type="dxa"/>
            <w:tcBorders>
              <w:top w:val="nil"/>
              <w:left w:val="single" w:sz="12" w:space="0" w:color="auto"/>
              <w:bottom w:val="single" w:sz="12" w:space="0" w:color="auto"/>
              <w:right w:val="single" w:sz="12" w:space="0" w:color="auto"/>
            </w:tcBorders>
          </w:tcPr>
          <w:p w:rsidR="00000000" w:rsidRDefault="00D35856">
            <w:pPr>
              <w:keepNext w:val="0"/>
              <w:widowControl w:val="0"/>
              <w:spacing w:after="0"/>
              <w:rPr>
                <w:b/>
                <w:sz w:val="18"/>
              </w:rPr>
            </w:pPr>
          </w:p>
        </w:tc>
        <w:tc>
          <w:tcPr>
            <w:tcW w:w="1708" w:type="dxa"/>
            <w:tcBorders>
              <w:left w:val="single" w:sz="12" w:space="0" w:color="auto"/>
              <w:bottom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szCs w:val="18"/>
              </w:rPr>
              <w:t>Ongoing costs associated with checking labels and training staff</w:t>
            </w:r>
          </w:p>
        </w:tc>
        <w:tc>
          <w:tcPr>
            <w:tcW w:w="1411" w:type="dxa"/>
            <w:tcBorders>
              <w:bottom w:val="single" w:sz="12" w:space="0" w:color="auto"/>
              <w:right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szCs w:val="18"/>
              </w:rPr>
              <w:t>Assumed negligible</w:t>
            </w:r>
          </w:p>
        </w:tc>
        <w:tc>
          <w:tcPr>
            <w:tcW w:w="1464" w:type="dxa"/>
            <w:vMerge/>
            <w:tcBorders>
              <w:left w:val="single" w:sz="12" w:space="0" w:color="auto"/>
              <w:bottom w:val="single" w:sz="12" w:space="0" w:color="auto"/>
            </w:tcBorders>
          </w:tcPr>
          <w:p w:rsidR="00000000" w:rsidRDefault="00D35856">
            <w:pPr>
              <w:keepNext w:val="0"/>
              <w:widowControl w:val="0"/>
              <w:spacing w:after="0"/>
              <w:jc w:val="left"/>
              <w:rPr>
                <w:rFonts w:ascii="Arial" w:hAnsi="Arial" w:cs="Arial"/>
                <w:sz w:val="18"/>
                <w:szCs w:val="18"/>
              </w:rPr>
            </w:pPr>
          </w:p>
        </w:tc>
        <w:tc>
          <w:tcPr>
            <w:tcW w:w="1208" w:type="dxa"/>
            <w:vMerge/>
            <w:tcBorders>
              <w:bottom w:val="single" w:sz="12" w:space="0" w:color="auto"/>
              <w:right w:val="single" w:sz="12" w:space="0" w:color="auto"/>
            </w:tcBorders>
          </w:tcPr>
          <w:p w:rsidR="00000000" w:rsidRDefault="00D35856">
            <w:pPr>
              <w:keepNext w:val="0"/>
              <w:widowControl w:val="0"/>
              <w:spacing w:after="0"/>
              <w:jc w:val="left"/>
              <w:rPr>
                <w:rFonts w:ascii="Arial" w:hAnsi="Arial" w:cs="Arial"/>
                <w:sz w:val="18"/>
                <w:szCs w:val="18"/>
              </w:rPr>
            </w:pPr>
          </w:p>
        </w:tc>
        <w:tc>
          <w:tcPr>
            <w:tcW w:w="1438" w:type="dxa"/>
            <w:vMerge/>
            <w:tcBorders>
              <w:left w:val="single" w:sz="12" w:space="0" w:color="auto"/>
              <w:bottom w:val="single" w:sz="12" w:space="0" w:color="auto"/>
              <w:right w:val="single" w:sz="12" w:space="0" w:color="auto"/>
            </w:tcBorders>
          </w:tcPr>
          <w:p w:rsidR="00000000" w:rsidRDefault="00D35856">
            <w:pPr>
              <w:keepNext w:val="0"/>
              <w:widowControl w:val="0"/>
              <w:spacing w:after="0"/>
              <w:jc w:val="left"/>
              <w:rPr>
                <w:rFonts w:ascii="Arial" w:hAnsi="Arial" w:cs="Arial"/>
                <w:sz w:val="18"/>
              </w:rPr>
            </w:pPr>
          </w:p>
        </w:tc>
      </w:tr>
      <w:tr w:rsidR="00000000">
        <w:tc>
          <w:tcPr>
            <w:tcW w:w="1384" w:type="dxa"/>
            <w:vMerge w:val="restart"/>
            <w:tcBorders>
              <w:top w:val="single" w:sz="12" w:space="0" w:color="auto"/>
              <w:left w:val="single" w:sz="12" w:space="0" w:color="auto"/>
              <w:right w:val="single" w:sz="12" w:space="0" w:color="auto"/>
            </w:tcBorders>
          </w:tcPr>
          <w:p w:rsidR="00000000" w:rsidRDefault="00D35856">
            <w:pPr>
              <w:keepNext w:val="0"/>
              <w:widowControl w:val="0"/>
              <w:spacing w:after="0"/>
              <w:rPr>
                <w:b/>
                <w:sz w:val="18"/>
              </w:rPr>
            </w:pPr>
            <w:r>
              <w:rPr>
                <w:rFonts w:ascii="Arial" w:hAnsi="Arial"/>
                <w:b/>
                <w:sz w:val="18"/>
              </w:rPr>
              <w:t>Customers</w:t>
            </w:r>
          </w:p>
        </w:tc>
        <w:tc>
          <w:tcPr>
            <w:tcW w:w="1708" w:type="dxa"/>
            <w:vMerge w:val="restart"/>
            <w:tcBorders>
              <w:top w:val="single" w:sz="12" w:space="0" w:color="auto"/>
              <w:left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szCs w:val="18"/>
              </w:rPr>
              <w:t xml:space="preserve">Increased product cost increase due to price premium </w:t>
            </w:r>
          </w:p>
        </w:tc>
        <w:tc>
          <w:tcPr>
            <w:tcW w:w="1411" w:type="dxa"/>
            <w:vMerge w:val="restart"/>
            <w:tcBorders>
              <w:top w:val="single" w:sz="12" w:space="0" w:color="auto"/>
              <w:right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szCs w:val="18"/>
              </w:rPr>
              <w:t>Assumed negligible*</w:t>
            </w:r>
          </w:p>
        </w:tc>
        <w:tc>
          <w:tcPr>
            <w:tcW w:w="1464" w:type="dxa"/>
            <w:tcBorders>
              <w:top w:val="single" w:sz="12" w:space="0" w:color="auto"/>
              <w:left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szCs w:val="18"/>
              </w:rPr>
              <w:t>Avoided water bill costs</w:t>
            </w:r>
          </w:p>
        </w:tc>
        <w:tc>
          <w:tcPr>
            <w:tcW w:w="1208" w:type="dxa"/>
            <w:tcBorders>
              <w:top w:val="single" w:sz="12" w:space="0" w:color="auto"/>
              <w:right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szCs w:val="18"/>
              </w:rPr>
              <w:t>$660m</w:t>
            </w:r>
          </w:p>
        </w:tc>
        <w:tc>
          <w:tcPr>
            <w:tcW w:w="1438" w:type="dxa"/>
            <w:vMerge w:val="restart"/>
            <w:tcBorders>
              <w:top w:val="single" w:sz="12" w:space="0" w:color="auto"/>
              <w:left w:val="single" w:sz="12" w:space="0" w:color="auto"/>
              <w:right w:val="single" w:sz="12" w:space="0" w:color="auto"/>
            </w:tcBorders>
          </w:tcPr>
          <w:p w:rsidR="00000000" w:rsidRDefault="00D35856">
            <w:pPr>
              <w:keepNext w:val="0"/>
              <w:widowControl w:val="0"/>
              <w:spacing w:after="0"/>
              <w:jc w:val="left"/>
              <w:rPr>
                <w:rFonts w:ascii="Arial" w:hAnsi="Arial" w:cs="Arial"/>
                <w:sz w:val="18"/>
              </w:rPr>
            </w:pPr>
            <w:r>
              <w:rPr>
                <w:rFonts w:ascii="Arial" w:hAnsi="Arial" w:cs="Arial"/>
                <w:sz w:val="18"/>
              </w:rPr>
              <w:t>+ $1273m</w:t>
            </w:r>
          </w:p>
        </w:tc>
      </w:tr>
      <w:tr w:rsidR="00000000">
        <w:tc>
          <w:tcPr>
            <w:tcW w:w="1384" w:type="dxa"/>
            <w:vMerge/>
            <w:tcBorders>
              <w:left w:val="single" w:sz="12" w:space="0" w:color="auto"/>
              <w:bottom w:val="single" w:sz="12" w:space="0" w:color="auto"/>
              <w:right w:val="single" w:sz="12" w:space="0" w:color="auto"/>
            </w:tcBorders>
          </w:tcPr>
          <w:p w:rsidR="00000000" w:rsidRDefault="00D35856">
            <w:pPr>
              <w:keepNext w:val="0"/>
              <w:widowControl w:val="0"/>
              <w:spacing w:after="0"/>
              <w:rPr>
                <w:b/>
                <w:sz w:val="18"/>
              </w:rPr>
            </w:pPr>
          </w:p>
        </w:tc>
        <w:tc>
          <w:tcPr>
            <w:tcW w:w="1708" w:type="dxa"/>
            <w:vMerge/>
            <w:tcBorders>
              <w:left w:val="single" w:sz="12" w:space="0" w:color="auto"/>
              <w:bottom w:val="single" w:sz="12" w:space="0" w:color="auto"/>
            </w:tcBorders>
          </w:tcPr>
          <w:p w:rsidR="00000000" w:rsidRDefault="00D35856">
            <w:pPr>
              <w:keepNext w:val="0"/>
              <w:widowControl w:val="0"/>
              <w:spacing w:after="0"/>
              <w:jc w:val="left"/>
              <w:rPr>
                <w:rFonts w:ascii="Arial" w:hAnsi="Arial" w:cs="Arial"/>
                <w:sz w:val="18"/>
                <w:szCs w:val="18"/>
              </w:rPr>
            </w:pPr>
          </w:p>
        </w:tc>
        <w:tc>
          <w:tcPr>
            <w:tcW w:w="1411" w:type="dxa"/>
            <w:vMerge/>
            <w:tcBorders>
              <w:bottom w:val="single" w:sz="12" w:space="0" w:color="auto"/>
              <w:right w:val="single" w:sz="12" w:space="0" w:color="auto"/>
            </w:tcBorders>
          </w:tcPr>
          <w:p w:rsidR="00000000" w:rsidRDefault="00D35856">
            <w:pPr>
              <w:keepNext w:val="0"/>
              <w:widowControl w:val="0"/>
              <w:spacing w:after="0"/>
              <w:jc w:val="left"/>
              <w:rPr>
                <w:rFonts w:ascii="Arial" w:hAnsi="Arial" w:cs="Arial"/>
                <w:sz w:val="18"/>
                <w:szCs w:val="18"/>
              </w:rPr>
            </w:pPr>
          </w:p>
        </w:tc>
        <w:tc>
          <w:tcPr>
            <w:tcW w:w="1464" w:type="dxa"/>
            <w:tcBorders>
              <w:left w:val="single" w:sz="12" w:space="0" w:color="auto"/>
              <w:bottom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szCs w:val="18"/>
              </w:rPr>
              <w:t>Avoided energy bill costs</w:t>
            </w:r>
          </w:p>
        </w:tc>
        <w:tc>
          <w:tcPr>
            <w:tcW w:w="1208" w:type="dxa"/>
            <w:tcBorders>
              <w:bottom w:val="single" w:sz="12" w:space="0" w:color="auto"/>
              <w:right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szCs w:val="18"/>
              </w:rPr>
              <w:t>$613m</w:t>
            </w:r>
          </w:p>
        </w:tc>
        <w:tc>
          <w:tcPr>
            <w:tcW w:w="1438" w:type="dxa"/>
            <w:vMerge/>
            <w:tcBorders>
              <w:left w:val="single" w:sz="12" w:space="0" w:color="auto"/>
              <w:bottom w:val="single" w:sz="12" w:space="0" w:color="auto"/>
              <w:right w:val="single" w:sz="12" w:space="0" w:color="auto"/>
            </w:tcBorders>
          </w:tcPr>
          <w:p w:rsidR="00000000" w:rsidRDefault="00D35856">
            <w:pPr>
              <w:keepNext w:val="0"/>
              <w:widowControl w:val="0"/>
              <w:spacing w:after="0"/>
              <w:jc w:val="left"/>
              <w:rPr>
                <w:rFonts w:ascii="Arial" w:hAnsi="Arial" w:cs="Arial"/>
                <w:sz w:val="18"/>
              </w:rPr>
            </w:pPr>
          </w:p>
        </w:tc>
      </w:tr>
      <w:tr w:rsidR="00000000">
        <w:tc>
          <w:tcPr>
            <w:tcW w:w="1384" w:type="dxa"/>
            <w:tcBorders>
              <w:top w:val="single" w:sz="12" w:space="0" w:color="auto"/>
              <w:left w:val="single" w:sz="12" w:space="0" w:color="auto"/>
              <w:bottom w:val="single" w:sz="12" w:space="0" w:color="auto"/>
              <w:right w:val="single" w:sz="12" w:space="0" w:color="auto"/>
            </w:tcBorders>
          </w:tcPr>
          <w:p w:rsidR="00000000" w:rsidRDefault="00D35856">
            <w:pPr>
              <w:keepNext w:val="0"/>
              <w:widowControl w:val="0"/>
              <w:spacing w:after="0"/>
              <w:jc w:val="left"/>
              <w:rPr>
                <w:rFonts w:ascii="Arial" w:hAnsi="Arial"/>
                <w:b/>
                <w:sz w:val="18"/>
              </w:rPr>
            </w:pPr>
            <w:r>
              <w:rPr>
                <w:rFonts w:ascii="Arial" w:hAnsi="Arial"/>
                <w:b/>
                <w:sz w:val="18"/>
              </w:rPr>
              <w:t>Water businesses</w:t>
            </w:r>
          </w:p>
        </w:tc>
        <w:tc>
          <w:tcPr>
            <w:tcW w:w="1708" w:type="dxa"/>
            <w:tcBorders>
              <w:top w:val="single" w:sz="12" w:space="0" w:color="auto"/>
              <w:left w:val="single" w:sz="12" w:space="0" w:color="auto"/>
              <w:bottom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szCs w:val="18"/>
              </w:rPr>
              <w:t>Reduced water revenue (to public)</w:t>
            </w:r>
          </w:p>
        </w:tc>
        <w:tc>
          <w:tcPr>
            <w:tcW w:w="1411" w:type="dxa"/>
            <w:tcBorders>
              <w:top w:val="single" w:sz="12" w:space="0" w:color="auto"/>
              <w:bottom w:val="single" w:sz="12" w:space="0" w:color="auto"/>
              <w:right w:val="single" w:sz="12" w:space="0" w:color="auto"/>
            </w:tcBorders>
          </w:tcPr>
          <w:p w:rsidR="00000000" w:rsidRDefault="00D35856">
            <w:pPr>
              <w:keepNext w:val="0"/>
              <w:widowControl w:val="0"/>
              <w:spacing w:after="0"/>
              <w:jc w:val="left"/>
              <w:rPr>
                <w:rFonts w:ascii="Arial" w:hAnsi="Arial" w:cs="Arial"/>
                <w:b/>
                <w:i/>
                <w:sz w:val="18"/>
                <w:szCs w:val="18"/>
              </w:rPr>
            </w:pPr>
            <w:r>
              <w:rPr>
                <w:rFonts w:ascii="Arial" w:hAnsi="Arial" w:cs="Arial"/>
                <w:sz w:val="18"/>
                <w:szCs w:val="18"/>
              </w:rPr>
              <w:t>$660m</w:t>
            </w:r>
          </w:p>
        </w:tc>
        <w:tc>
          <w:tcPr>
            <w:tcW w:w="1464" w:type="dxa"/>
            <w:tcBorders>
              <w:top w:val="single" w:sz="12" w:space="0" w:color="auto"/>
              <w:left w:val="single" w:sz="12" w:space="0" w:color="auto"/>
              <w:bottom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szCs w:val="18"/>
              </w:rPr>
              <w:t>Avoided energy costs</w:t>
            </w:r>
          </w:p>
        </w:tc>
        <w:tc>
          <w:tcPr>
            <w:tcW w:w="1208" w:type="dxa"/>
            <w:tcBorders>
              <w:top w:val="single" w:sz="12" w:space="0" w:color="auto"/>
              <w:bottom w:val="single" w:sz="12" w:space="0" w:color="auto"/>
              <w:right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szCs w:val="18"/>
              </w:rPr>
              <w:t>$70m</w:t>
            </w:r>
          </w:p>
        </w:tc>
        <w:tc>
          <w:tcPr>
            <w:tcW w:w="1438" w:type="dxa"/>
            <w:tcBorders>
              <w:top w:val="single" w:sz="12" w:space="0" w:color="auto"/>
              <w:left w:val="single" w:sz="12" w:space="0" w:color="auto"/>
              <w:bottom w:val="single" w:sz="12" w:space="0" w:color="auto"/>
              <w:right w:val="single" w:sz="12" w:space="0" w:color="auto"/>
            </w:tcBorders>
          </w:tcPr>
          <w:p w:rsidR="00000000" w:rsidRDefault="00D35856">
            <w:pPr>
              <w:keepNext w:val="0"/>
              <w:widowControl w:val="0"/>
              <w:spacing w:after="0"/>
              <w:jc w:val="left"/>
              <w:rPr>
                <w:rFonts w:ascii="Arial" w:hAnsi="Arial" w:cs="Arial"/>
                <w:b/>
                <w:sz w:val="18"/>
              </w:rPr>
            </w:pPr>
            <w:r>
              <w:rPr>
                <w:rFonts w:ascii="Arial" w:hAnsi="Arial" w:cs="Arial"/>
                <w:sz w:val="18"/>
              </w:rPr>
              <w:t>– $590m</w:t>
            </w:r>
          </w:p>
        </w:tc>
      </w:tr>
      <w:tr w:rsidR="00000000">
        <w:tc>
          <w:tcPr>
            <w:tcW w:w="1384" w:type="dxa"/>
            <w:tcBorders>
              <w:top w:val="single" w:sz="12" w:space="0" w:color="auto"/>
              <w:left w:val="single" w:sz="12" w:space="0" w:color="auto"/>
              <w:bottom w:val="single" w:sz="12" w:space="0" w:color="auto"/>
              <w:right w:val="nil"/>
            </w:tcBorders>
            <w:shd w:val="clear" w:color="auto" w:fill="999999"/>
          </w:tcPr>
          <w:p w:rsidR="00000000" w:rsidRDefault="00D35856">
            <w:pPr>
              <w:keepNext w:val="0"/>
              <w:widowControl w:val="0"/>
              <w:spacing w:after="0"/>
              <w:rPr>
                <w:rFonts w:ascii="Arial" w:hAnsi="Arial"/>
                <w:b/>
                <w:sz w:val="6"/>
                <w:szCs w:val="6"/>
              </w:rPr>
            </w:pPr>
          </w:p>
        </w:tc>
        <w:tc>
          <w:tcPr>
            <w:tcW w:w="1708" w:type="dxa"/>
            <w:tcBorders>
              <w:top w:val="single" w:sz="12" w:space="0" w:color="auto"/>
              <w:left w:val="nil"/>
              <w:bottom w:val="single" w:sz="12" w:space="0" w:color="auto"/>
              <w:right w:val="nil"/>
            </w:tcBorders>
            <w:shd w:val="clear" w:color="auto" w:fill="999999"/>
          </w:tcPr>
          <w:p w:rsidR="00000000" w:rsidRDefault="00D35856">
            <w:pPr>
              <w:keepNext w:val="0"/>
              <w:widowControl w:val="0"/>
              <w:spacing w:after="0"/>
              <w:jc w:val="left"/>
              <w:rPr>
                <w:rFonts w:ascii="Arial" w:hAnsi="Arial" w:cs="Arial"/>
                <w:sz w:val="6"/>
                <w:szCs w:val="6"/>
              </w:rPr>
            </w:pPr>
          </w:p>
        </w:tc>
        <w:tc>
          <w:tcPr>
            <w:tcW w:w="1411" w:type="dxa"/>
            <w:tcBorders>
              <w:top w:val="single" w:sz="12" w:space="0" w:color="auto"/>
              <w:left w:val="nil"/>
              <w:bottom w:val="single" w:sz="12" w:space="0" w:color="auto"/>
              <w:right w:val="nil"/>
            </w:tcBorders>
            <w:shd w:val="clear" w:color="auto" w:fill="999999"/>
          </w:tcPr>
          <w:p w:rsidR="00000000" w:rsidRDefault="00D35856">
            <w:pPr>
              <w:keepNext w:val="0"/>
              <w:widowControl w:val="0"/>
              <w:spacing w:after="0"/>
              <w:jc w:val="left"/>
              <w:rPr>
                <w:rFonts w:ascii="Arial" w:hAnsi="Arial" w:cs="Arial"/>
                <w:sz w:val="6"/>
                <w:szCs w:val="6"/>
              </w:rPr>
            </w:pPr>
          </w:p>
        </w:tc>
        <w:tc>
          <w:tcPr>
            <w:tcW w:w="1464" w:type="dxa"/>
            <w:tcBorders>
              <w:top w:val="single" w:sz="12" w:space="0" w:color="auto"/>
              <w:left w:val="nil"/>
              <w:bottom w:val="single" w:sz="12" w:space="0" w:color="auto"/>
              <w:right w:val="nil"/>
            </w:tcBorders>
            <w:shd w:val="clear" w:color="auto" w:fill="999999"/>
          </w:tcPr>
          <w:p w:rsidR="00000000" w:rsidRDefault="00D35856">
            <w:pPr>
              <w:keepNext w:val="0"/>
              <w:widowControl w:val="0"/>
              <w:spacing w:after="0"/>
              <w:jc w:val="left"/>
              <w:rPr>
                <w:rFonts w:ascii="Arial" w:hAnsi="Arial" w:cs="Arial"/>
                <w:sz w:val="6"/>
                <w:szCs w:val="6"/>
              </w:rPr>
            </w:pPr>
          </w:p>
        </w:tc>
        <w:tc>
          <w:tcPr>
            <w:tcW w:w="1208" w:type="dxa"/>
            <w:tcBorders>
              <w:top w:val="single" w:sz="12" w:space="0" w:color="auto"/>
              <w:left w:val="nil"/>
              <w:bottom w:val="single" w:sz="12" w:space="0" w:color="auto"/>
              <w:right w:val="nil"/>
            </w:tcBorders>
            <w:shd w:val="clear" w:color="auto" w:fill="999999"/>
          </w:tcPr>
          <w:p w:rsidR="00000000" w:rsidRDefault="00D35856">
            <w:pPr>
              <w:keepNext w:val="0"/>
              <w:widowControl w:val="0"/>
              <w:spacing w:after="0"/>
              <w:jc w:val="left"/>
              <w:rPr>
                <w:rFonts w:ascii="Arial" w:hAnsi="Arial" w:cs="Arial"/>
                <w:sz w:val="6"/>
                <w:szCs w:val="6"/>
              </w:rPr>
            </w:pPr>
          </w:p>
        </w:tc>
        <w:tc>
          <w:tcPr>
            <w:tcW w:w="1438" w:type="dxa"/>
            <w:tcBorders>
              <w:top w:val="single" w:sz="12" w:space="0" w:color="auto"/>
              <w:left w:val="nil"/>
              <w:bottom w:val="single" w:sz="12" w:space="0" w:color="auto"/>
              <w:right w:val="single" w:sz="12" w:space="0" w:color="auto"/>
            </w:tcBorders>
            <w:shd w:val="clear" w:color="auto" w:fill="999999"/>
          </w:tcPr>
          <w:p w:rsidR="00000000" w:rsidRDefault="00D35856">
            <w:pPr>
              <w:keepNext w:val="0"/>
              <w:widowControl w:val="0"/>
              <w:spacing w:after="0"/>
              <w:jc w:val="left"/>
              <w:rPr>
                <w:rFonts w:ascii="Arial" w:hAnsi="Arial" w:cs="Arial"/>
                <w:sz w:val="6"/>
                <w:szCs w:val="6"/>
              </w:rPr>
            </w:pPr>
          </w:p>
        </w:tc>
      </w:tr>
      <w:tr w:rsidR="00000000">
        <w:tc>
          <w:tcPr>
            <w:tcW w:w="1384" w:type="dxa"/>
            <w:tcBorders>
              <w:top w:val="single" w:sz="12" w:space="0" w:color="auto"/>
              <w:left w:val="single" w:sz="12" w:space="0" w:color="auto"/>
              <w:bottom w:val="single" w:sz="12" w:space="0" w:color="auto"/>
              <w:right w:val="single" w:sz="12" w:space="0" w:color="auto"/>
            </w:tcBorders>
          </w:tcPr>
          <w:p w:rsidR="00000000" w:rsidRDefault="00D35856">
            <w:pPr>
              <w:keepNext w:val="0"/>
              <w:widowControl w:val="0"/>
              <w:spacing w:after="0"/>
              <w:rPr>
                <w:b/>
                <w:sz w:val="18"/>
              </w:rPr>
            </w:pPr>
            <w:r>
              <w:rPr>
                <w:rFonts w:ascii="Arial" w:hAnsi="Arial"/>
                <w:b/>
                <w:sz w:val="18"/>
              </w:rPr>
              <w:t>Global</w:t>
            </w:r>
          </w:p>
        </w:tc>
        <w:tc>
          <w:tcPr>
            <w:tcW w:w="1708" w:type="dxa"/>
            <w:tcBorders>
              <w:top w:val="single" w:sz="12" w:space="0" w:color="auto"/>
              <w:left w:val="single" w:sz="12" w:space="0" w:color="auto"/>
              <w:bottom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szCs w:val="18"/>
              </w:rPr>
              <w:t>Life cycle costs</w:t>
            </w:r>
          </w:p>
        </w:tc>
        <w:tc>
          <w:tcPr>
            <w:tcW w:w="1411" w:type="dxa"/>
            <w:tcBorders>
              <w:top w:val="single" w:sz="12" w:space="0" w:color="auto"/>
              <w:bottom w:val="single" w:sz="12" w:space="0" w:color="auto"/>
              <w:right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szCs w:val="18"/>
              </w:rPr>
              <w:t>Not estimated</w:t>
            </w:r>
          </w:p>
        </w:tc>
        <w:tc>
          <w:tcPr>
            <w:tcW w:w="1464" w:type="dxa"/>
            <w:tcBorders>
              <w:top w:val="single" w:sz="12" w:space="0" w:color="auto"/>
              <w:left w:val="single" w:sz="12" w:space="0" w:color="auto"/>
              <w:bottom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szCs w:val="18"/>
              </w:rPr>
              <w:t>Avoided greenhouse gas emissions</w:t>
            </w:r>
          </w:p>
        </w:tc>
        <w:tc>
          <w:tcPr>
            <w:tcW w:w="1208" w:type="dxa"/>
            <w:tcBorders>
              <w:top w:val="single" w:sz="12" w:space="0" w:color="auto"/>
              <w:bottom w:val="single" w:sz="12" w:space="0" w:color="auto"/>
              <w:right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szCs w:val="18"/>
              </w:rPr>
              <w:t>$153m</w:t>
            </w:r>
          </w:p>
        </w:tc>
        <w:tc>
          <w:tcPr>
            <w:tcW w:w="1438" w:type="dxa"/>
            <w:tcBorders>
              <w:top w:val="single" w:sz="12" w:space="0" w:color="auto"/>
              <w:left w:val="single" w:sz="12" w:space="0" w:color="auto"/>
              <w:bottom w:val="single" w:sz="12" w:space="0" w:color="auto"/>
              <w:right w:val="single" w:sz="12" w:space="0" w:color="auto"/>
            </w:tcBorders>
          </w:tcPr>
          <w:p w:rsidR="00000000" w:rsidRDefault="00D35856">
            <w:pPr>
              <w:keepNext w:val="0"/>
              <w:widowControl w:val="0"/>
              <w:spacing w:after="0"/>
              <w:jc w:val="left"/>
              <w:rPr>
                <w:rFonts w:ascii="Arial" w:hAnsi="Arial" w:cs="Arial"/>
                <w:sz w:val="18"/>
              </w:rPr>
            </w:pPr>
          </w:p>
        </w:tc>
      </w:tr>
    </w:tbl>
    <w:p w:rsidR="00000000" w:rsidRDefault="00D35856">
      <w:pPr>
        <w:keepNext w:val="0"/>
        <w:widowControl w:val="0"/>
        <w:rPr>
          <w:rFonts w:ascii="Arial" w:hAnsi="Arial" w:cs="Arial"/>
          <w:sz w:val="18"/>
          <w:szCs w:val="18"/>
        </w:rPr>
      </w:pPr>
      <w:r>
        <w:rPr>
          <w:rFonts w:ascii="Arial" w:hAnsi="Arial" w:cs="Arial"/>
          <w:sz w:val="18"/>
          <w:szCs w:val="18"/>
        </w:rPr>
        <w:t>Notes: DEWHA administration costs are reported net of appropriations and state government funding. All estimates of NPV based on 7% discount rate. Bill savings based on assumptions of real growth rate of water, electricity and gas tariffs of 5%. Avoided co</w:t>
      </w:r>
      <w:r>
        <w:rPr>
          <w:rFonts w:ascii="Arial" w:hAnsi="Arial" w:cs="Arial"/>
          <w:sz w:val="18"/>
          <w:szCs w:val="18"/>
        </w:rPr>
        <w:t>st of greenhouse gas emissions estimated at $50 /tCO</w:t>
      </w:r>
      <w:r>
        <w:rPr>
          <w:rFonts w:ascii="Arial" w:hAnsi="Arial" w:cs="Arial"/>
          <w:sz w:val="18"/>
          <w:szCs w:val="18"/>
          <w:vertAlign w:val="subscript"/>
        </w:rPr>
        <w:t>2.</w:t>
      </w:r>
    </w:p>
    <w:p w:rsidR="00000000" w:rsidRDefault="00D35856">
      <w:pPr>
        <w:keepNext w:val="0"/>
      </w:pPr>
    </w:p>
    <w:p w:rsidR="00000000" w:rsidRDefault="00D35856">
      <w:pPr>
        <w:pStyle w:val="Heading3"/>
        <w:keepNext w:val="0"/>
        <w:pageBreakBefore/>
        <w:numPr>
          <w:ilvl w:val="2"/>
          <w:numId w:val="3"/>
        </w:numPr>
        <w:tabs>
          <w:tab w:val="clear" w:pos="1440"/>
        </w:tabs>
        <w:ind w:left="851" w:hanging="851"/>
        <w:rPr>
          <w:color w:val="auto"/>
        </w:rPr>
      </w:pPr>
      <w:bookmarkStart w:id="242" w:name="_Toc199933767"/>
      <w:r>
        <w:rPr>
          <w:color w:val="auto"/>
        </w:rPr>
        <w:lastRenderedPageBreak/>
        <w:t>Parameter uncertainty – upper limiting costs</w:t>
      </w:r>
      <w:bookmarkEnd w:id="242"/>
    </w:p>
    <w:p w:rsidR="00000000" w:rsidRDefault="00D35856">
      <w:pPr>
        <w:keepNext w:val="0"/>
        <w:widowControl w:val="0"/>
      </w:pPr>
      <w:r>
        <w:t xml:space="preserve">The parameter assumptions and estimations detailed throughout chapter 4 have reflected a conservative approach – that is, </w:t>
      </w:r>
      <w:r>
        <w:t xml:space="preserve">avoiding understating costs and overstating benefits. Nevertheless, the value of some key parameters is very uncertain. </w:t>
      </w:r>
      <w:fldSimple w:instr=" REF _Ref191472246 \h  \* MERGEFORMAT ">
        <w:r>
          <w:t xml:space="preserve">Table </w:t>
        </w:r>
        <w:r>
          <w:rPr>
            <w:noProof/>
          </w:rPr>
          <w:t>4</w:t>
        </w:r>
        <w:r>
          <w:rPr>
            <w:noProof/>
          </w:rPr>
          <w:noBreakHyphen/>
          <w:t>15</w:t>
        </w:r>
      </w:fldSimple>
      <w:r>
        <w:t xml:space="preserve"> summarises the assum</w:t>
      </w:r>
      <w:r>
        <w:t xml:space="preserve">ptions and sensitivity testing of parameters behind the “upper” cost estimates to suppliers. There are interactions between some key parameters (eg. registration costs) and registration numbers. However, these influences have not been explicitly modelled, </w:t>
      </w:r>
      <w:r>
        <w:t>because the projected registration numbers (</w:t>
      </w:r>
      <w:fldSimple w:instr=" REF _Ref191472246 \h  \* MERGEFORMAT ">
        <w:r>
          <w:t xml:space="preserve">Table </w:t>
        </w:r>
        <w:r>
          <w:rPr>
            <w:noProof/>
          </w:rPr>
          <w:t>4</w:t>
        </w:r>
        <w:r>
          <w:rPr>
            <w:noProof/>
          </w:rPr>
          <w:noBreakHyphen/>
          <w:t>15</w:t>
        </w:r>
      </w:fldSimple>
      <w:r>
        <w:t>) are a conservative upper estimate of future registrations.</w:t>
      </w:r>
    </w:p>
    <w:p w:rsidR="00000000" w:rsidRDefault="00D35856">
      <w:pPr>
        <w:pStyle w:val="Caption"/>
        <w:keepNext w:val="0"/>
      </w:pPr>
      <w:bookmarkStart w:id="243" w:name="_Ref191472246"/>
      <w:bookmarkStart w:id="244" w:name="_Toc199933808"/>
      <w:r>
        <w:t xml:space="preserve">Table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Table \* ARABIC \s 1 </w:instrText>
      </w:r>
      <w:r>
        <w:fldChar w:fldCharType="separate"/>
      </w:r>
      <w:r>
        <w:rPr>
          <w:noProof/>
        </w:rPr>
        <w:t>15</w:t>
      </w:r>
      <w:r>
        <w:fldChar w:fldCharType="end"/>
      </w:r>
      <w:bookmarkEnd w:id="243"/>
      <w:r>
        <w:t>: Summary of upper estimates of costs to suppliers NPV (2005—2006 to 2020—2021)</w:t>
      </w:r>
      <w:bookmarkEnd w:id="244"/>
    </w:p>
    <w:tbl>
      <w:tblPr>
        <w:tblStyle w:val="TableGrid"/>
        <w:tblW w:w="0" w:type="auto"/>
        <w:tblBorders>
          <w:top w:val="single" w:sz="12" w:space="0" w:color="auto"/>
          <w:left w:val="single" w:sz="12" w:space="0" w:color="auto"/>
          <w:bottom w:val="single" w:sz="12" w:space="0" w:color="auto"/>
          <w:right w:val="single" w:sz="12" w:space="0" w:color="auto"/>
          <w:insideV w:val="none" w:sz="0" w:space="0" w:color="auto"/>
        </w:tblBorders>
        <w:tblLook w:val="01E0"/>
      </w:tblPr>
      <w:tblGrid>
        <w:gridCol w:w="1384"/>
        <w:gridCol w:w="1276"/>
        <w:gridCol w:w="1028"/>
        <w:gridCol w:w="2232"/>
        <w:gridCol w:w="2693"/>
      </w:tblGrid>
      <w:tr w:rsidR="00000000">
        <w:trPr>
          <w:trHeight w:val="344"/>
        </w:trPr>
        <w:tc>
          <w:tcPr>
            <w:tcW w:w="1384" w:type="dxa"/>
            <w:vMerge w:val="restart"/>
            <w:tcBorders>
              <w:top w:val="single" w:sz="12" w:space="0" w:color="auto"/>
            </w:tcBorders>
            <w:shd w:val="clear" w:color="auto" w:fill="CCCCCC"/>
          </w:tcPr>
          <w:p w:rsidR="00000000" w:rsidRDefault="00D35856">
            <w:pPr>
              <w:keepNext w:val="0"/>
              <w:widowControl w:val="0"/>
              <w:spacing w:after="0"/>
              <w:jc w:val="center"/>
              <w:rPr>
                <w:rFonts w:ascii="Arial" w:hAnsi="Arial"/>
                <w:b/>
                <w:sz w:val="20"/>
              </w:rPr>
            </w:pPr>
            <w:r>
              <w:rPr>
                <w:rFonts w:ascii="Arial" w:hAnsi="Arial"/>
                <w:b/>
                <w:sz w:val="20"/>
              </w:rPr>
              <w:t>Cost</w:t>
            </w:r>
          </w:p>
          <w:p w:rsidR="00000000" w:rsidRDefault="00D35856">
            <w:pPr>
              <w:keepNext w:val="0"/>
              <w:widowControl w:val="0"/>
              <w:spacing w:after="0"/>
              <w:rPr>
                <w:rFonts w:ascii="Arial" w:hAnsi="Arial"/>
                <w:b/>
                <w:sz w:val="20"/>
              </w:rPr>
            </w:pPr>
          </w:p>
        </w:tc>
        <w:tc>
          <w:tcPr>
            <w:tcW w:w="1276" w:type="dxa"/>
            <w:vMerge w:val="restart"/>
            <w:tcBorders>
              <w:top w:val="single" w:sz="12" w:space="0" w:color="auto"/>
            </w:tcBorders>
            <w:shd w:val="clear" w:color="auto" w:fill="CCCCCC"/>
          </w:tcPr>
          <w:p w:rsidR="00000000" w:rsidRDefault="00D35856">
            <w:pPr>
              <w:keepNext w:val="0"/>
              <w:widowControl w:val="0"/>
              <w:spacing w:after="0"/>
              <w:jc w:val="center"/>
              <w:rPr>
                <w:rFonts w:ascii="Arial" w:hAnsi="Arial"/>
                <w:b/>
                <w:sz w:val="20"/>
              </w:rPr>
            </w:pPr>
            <w:r>
              <w:rPr>
                <w:rFonts w:ascii="Arial" w:hAnsi="Arial"/>
                <w:b/>
                <w:sz w:val="20"/>
              </w:rPr>
              <w:t>Estimate</w:t>
            </w:r>
          </w:p>
          <w:p w:rsidR="00000000" w:rsidRDefault="00D35856">
            <w:pPr>
              <w:keepNext w:val="0"/>
              <w:widowControl w:val="0"/>
              <w:spacing w:after="0"/>
              <w:rPr>
                <w:rFonts w:ascii="Arial" w:hAnsi="Arial"/>
                <w:b/>
                <w:sz w:val="20"/>
              </w:rPr>
            </w:pPr>
          </w:p>
        </w:tc>
        <w:tc>
          <w:tcPr>
            <w:tcW w:w="1028" w:type="dxa"/>
            <w:vMerge w:val="restart"/>
            <w:tcBorders>
              <w:top w:val="single" w:sz="12" w:space="0" w:color="auto"/>
            </w:tcBorders>
            <w:shd w:val="clear" w:color="auto" w:fill="CCCCCC"/>
          </w:tcPr>
          <w:p w:rsidR="00000000" w:rsidRDefault="00D35856">
            <w:pPr>
              <w:keepNext w:val="0"/>
              <w:widowControl w:val="0"/>
              <w:spacing w:after="0"/>
              <w:jc w:val="center"/>
              <w:rPr>
                <w:rFonts w:ascii="Arial" w:hAnsi="Arial"/>
                <w:b/>
                <w:i/>
                <w:sz w:val="20"/>
              </w:rPr>
            </w:pPr>
            <w:r>
              <w:rPr>
                <w:rFonts w:ascii="Arial" w:hAnsi="Arial"/>
                <w:b/>
                <w:i/>
                <w:sz w:val="20"/>
              </w:rPr>
              <w:t>Upper estimate</w:t>
            </w:r>
          </w:p>
        </w:tc>
        <w:tc>
          <w:tcPr>
            <w:tcW w:w="4925" w:type="dxa"/>
            <w:gridSpan w:val="2"/>
            <w:tcBorders>
              <w:top w:val="single" w:sz="12" w:space="0" w:color="auto"/>
            </w:tcBorders>
            <w:shd w:val="clear" w:color="auto" w:fill="CCCCCC"/>
          </w:tcPr>
          <w:p w:rsidR="00000000" w:rsidRDefault="00D35856">
            <w:pPr>
              <w:keepNext w:val="0"/>
              <w:widowControl w:val="0"/>
              <w:spacing w:after="0"/>
              <w:rPr>
                <w:rFonts w:ascii="Arial" w:hAnsi="Arial"/>
                <w:b/>
                <w:sz w:val="20"/>
              </w:rPr>
            </w:pPr>
            <w:r>
              <w:rPr>
                <w:rFonts w:ascii="Arial" w:hAnsi="Arial"/>
                <w:b/>
                <w:sz w:val="20"/>
              </w:rPr>
              <w:t>Description of parameter sensitivity</w:t>
            </w:r>
          </w:p>
        </w:tc>
      </w:tr>
      <w:tr w:rsidR="00000000">
        <w:trPr>
          <w:trHeight w:val="343"/>
        </w:trPr>
        <w:tc>
          <w:tcPr>
            <w:tcW w:w="1384" w:type="dxa"/>
            <w:vMerge/>
            <w:shd w:val="clear" w:color="auto" w:fill="CCCCCC"/>
          </w:tcPr>
          <w:p w:rsidR="00000000" w:rsidRDefault="00D35856">
            <w:pPr>
              <w:keepNext w:val="0"/>
              <w:widowControl w:val="0"/>
              <w:spacing w:after="0"/>
              <w:jc w:val="center"/>
              <w:rPr>
                <w:rFonts w:ascii="Arial" w:hAnsi="Arial"/>
                <w:b/>
                <w:sz w:val="20"/>
              </w:rPr>
            </w:pPr>
          </w:p>
        </w:tc>
        <w:tc>
          <w:tcPr>
            <w:tcW w:w="1276" w:type="dxa"/>
            <w:vMerge/>
            <w:shd w:val="clear" w:color="auto" w:fill="CCCCCC"/>
          </w:tcPr>
          <w:p w:rsidR="00000000" w:rsidRDefault="00D35856">
            <w:pPr>
              <w:keepNext w:val="0"/>
              <w:widowControl w:val="0"/>
              <w:spacing w:after="0"/>
              <w:jc w:val="center"/>
              <w:rPr>
                <w:rFonts w:ascii="Arial" w:hAnsi="Arial"/>
                <w:b/>
                <w:sz w:val="20"/>
              </w:rPr>
            </w:pPr>
          </w:p>
        </w:tc>
        <w:tc>
          <w:tcPr>
            <w:tcW w:w="1028" w:type="dxa"/>
            <w:vMerge/>
            <w:shd w:val="clear" w:color="auto" w:fill="CCCCCC"/>
          </w:tcPr>
          <w:p w:rsidR="00000000" w:rsidRDefault="00D35856">
            <w:pPr>
              <w:keepNext w:val="0"/>
              <w:widowControl w:val="0"/>
              <w:spacing w:after="0"/>
              <w:jc w:val="center"/>
              <w:rPr>
                <w:rFonts w:ascii="Arial" w:hAnsi="Arial"/>
                <w:b/>
                <w:i/>
                <w:sz w:val="20"/>
              </w:rPr>
            </w:pPr>
          </w:p>
        </w:tc>
        <w:tc>
          <w:tcPr>
            <w:tcW w:w="2232" w:type="dxa"/>
            <w:shd w:val="clear" w:color="auto" w:fill="CCCCCC"/>
          </w:tcPr>
          <w:p w:rsidR="00000000" w:rsidRDefault="00D35856">
            <w:pPr>
              <w:keepNext w:val="0"/>
              <w:widowControl w:val="0"/>
              <w:spacing w:after="0"/>
              <w:rPr>
                <w:rFonts w:ascii="Arial" w:hAnsi="Arial"/>
                <w:b/>
                <w:sz w:val="18"/>
              </w:rPr>
            </w:pPr>
            <w:r>
              <w:rPr>
                <w:rFonts w:ascii="Arial" w:hAnsi="Arial"/>
                <w:b/>
                <w:sz w:val="18"/>
              </w:rPr>
              <w:t>Estimate</w:t>
            </w:r>
          </w:p>
        </w:tc>
        <w:tc>
          <w:tcPr>
            <w:tcW w:w="2693" w:type="dxa"/>
            <w:shd w:val="clear" w:color="auto" w:fill="CCCCCC"/>
          </w:tcPr>
          <w:p w:rsidR="00000000" w:rsidRDefault="00D35856">
            <w:pPr>
              <w:keepNext w:val="0"/>
              <w:widowControl w:val="0"/>
              <w:spacing w:after="0"/>
              <w:rPr>
                <w:rFonts w:ascii="Arial" w:hAnsi="Arial"/>
                <w:b/>
                <w:i/>
                <w:sz w:val="18"/>
              </w:rPr>
            </w:pPr>
            <w:r>
              <w:rPr>
                <w:rFonts w:ascii="Arial" w:hAnsi="Arial"/>
                <w:b/>
                <w:i/>
                <w:sz w:val="18"/>
              </w:rPr>
              <w:t>Upper estimate</w:t>
            </w:r>
          </w:p>
        </w:tc>
      </w:tr>
      <w:tr w:rsidR="00000000">
        <w:tc>
          <w:tcPr>
            <w:tcW w:w="1384" w:type="dxa"/>
          </w:tcPr>
          <w:p w:rsidR="00000000" w:rsidRDefault="00D35856">
            <w:pPr>
              <w:keepNext w:val="0"/>
              <w:widowControl w:val="0"/>
              <w:spacing w:after="0"/>
              <w:jc w:val="left"/>
              <w:rPr>
                <w:rFonts w:ascii="Arial" w:hAnsi="Arial" w:cs="Arial"/>
                <w:sz w:val="18"/>
                <w:szCs w:val="18"/>
              </w:rPr>
            </w:pPr>
            <w:r>
              <w:rPr>
                <w:rFonts w:ascii="Arial" w:hAnsi="Arial" w:cs="Arial"/>
                <w:sz w:val="18"/>
                <w:szCs w:val="18"/>
              </w:rPr>
              <w:t>Registration fee</w:t>
            </w:r>
          </w:p>
        </w:tc>
        <w:tc>
          <w:tcPr>
            <w:tcW w:w="1276" w:type="dxa"/>
          </w:tcPr>
          <w:p w:rsidR="00000000" w:rsidRDefault="00D35856">
            <w:pPr>
              <w:keepNext w:val="0"/>
              <w:widowControl w:val="0"/>
              <w:spacing w:after="0"/>
              <w:jc w:val="left"/>
              <w:rPr>
                <w:rFonts w:ascii="Arial" w:hAnsi="Arial" w:cs="Arial"/>
                <w:sz w:val="18"/>
                <w:szCs w:val="18"/>
              </w:rPr>
            </w:pPr>
            <w:r>
              <w:rPr>
                <w:rFonts w:ascii="Arial" w:hAnsi="Arial" w:cs="Arial"/>
                <w:sz w:val="18"/>
                <w:szCs w:val="18"/>
              </w:rPr>
              <w:t>$4.7m</w:t>
            </w:r>
          </w:p>
        </w:tc>
        <w:tc>
          <w:tcPr>
            <w:tcW w:w="1028" w:type="dxa"/>
          </w:tcPr>
          <w:p w:rsidR="00000000" w:rsidRDefault="00D35856">
            <w:pPr>
              <w:keepNext w:val="0"/>
              <w:widowControl w:val="0"/>
              <w:spacing w:after="0"/>
              <w:jc w:val="left"/>
              <w:rPr>
                <w:rFonts w:ascii="Arial" w:hAnsi="Arial" w:cs="Arial"/>
                <w:i/>
                <w:sz w:val="18"/>
                <w:szCs w:val="18"/>
              </w:rPr>
            </w:pPr>
            <w:r>
              <w:rPr>
                <w:rFonts w:ascii="Arial" w:hAnsi="Arial" w:cs="Arial"/>
                <w:i/>
                <w:sz w:val="18"/>
                <w:szCs w:val="18"/>
              </w:rPr>
              <w:t>$7.9m</w:t>
            </w:r>
          </w:p>
        </w:tc>
        <w:tc>
          <w:tcPr>
            <w:tcW w:w="2232" w:type="dxa"/>
          </w:tcPr>
          <w:p w:rsidR="00000000" w:rsidRDefault="00D35856">
            <w:pPr>
              <w:keepNext w:val="0"/>
              <w:widowControl w:val="0"/>
              <w:spacing w:after="0"/>
              <w:jc w:val="left"/>
              <w:rPr>
                <w:rFonts w:ascii="Arial" w:hAnsi="Arial" w:cs="Arial"/>
                <w:sz w:val="18"/>
              </w:rPr>
            </w:pPr>
            <w:r>
              <w:rPr>
                <w:rFonts w:ascii="Arial" w:hAnsi="Arial" w:cs="Arial"/>
                <w:sz w:val="18"/>
              </w:rPr>
              <w:t xml:space="preserve">Registration fee $1500/model </w:t>
            </w:r>
          </w:p>
        </w:tc>
        <w:tc>
          <w:tcPr>
            <w:tcW w:w="2693" w:type="dxa"/>
          </w:tcPr>
          <w:p w:rsidR="00000000" w:rsidRDefault="00D35856">
            <w:pPr>
              <w:keepNext w:val="0"/>
              <w:widowControl w:val="0"/>
              <w:spacing w:after="0"/>
              <w:jc w:val="left"/>
              <w:rPr>
                <w:rFonts w:ascii="Arial" w:hAnsi="Arial" w:cs="Arial"/>
                <w:i/>
                <w:sz w:val="18"/>
              </w:rPr>
            </w:pPr>
            <w:r>
              <w:rPr>
                <w:rFonts w:ascii="Arial" w:hAnsi="Arial" w:cs="Arial"/>
                <w:i/>
                <w:sz w:val="18"/>
              </w:rPr>
              <w:t>Registration fee $2500/model with no impact on reducing registration numbers</w:t>
            </w:r>
          </w:p>
        </w:tc>
      </w:tr>
      <w:tr w:rsidR="00000000">
        <w:tc>
          <w:tcPr>
            <w:tcW w:w="1384" w:type="dxa"/>
          </w:tcPr>
          <w:p w:rsidR="00000000" w:rsidRDefault="00D35856">
            <w:pPr>
              <w:keepNext w:val="0"/>
              <w:widowControl w:val="0"/>
              <w:spacing w:after="0"/>
              <w:jc w:val="left"/>
              <w:rPr>
                <w:rFonts w:ascii="Arial" w:hAnsi="Arial" w:cs="Arial"/>
                <w:sz w:val="18"/>
                <w:szCs w:val="18"/>
              </w:rPr>
            </w:pPr>
            <w:r>
              <w:rPr>
                <w:rFonts w:ascii="Arial" w:hAnsi="Arial" w:cs="Arial"/>
                <w:sz w:val="18"/>
                <w:szCs w:val="18"/>
              </w:rPr>
              <w:t>Registration process</w:t>
            </w:r>
          </w:p>
        </w:tc>
        <w:tc>
          <w:tcPr>
            <w:tcW w:w="1276" w:type="dxa"/>
          </w:tcPr>
          <w:p w:rsidR="00000000" w:rsidRDefault="00D35856">
            <w:pPr>
              <w:keepNext w:val="0"/>
              <w:widowControl w:val="0"/>
              <w:spacing w:after="0"/>
              <w:jc w:val="left"/>
              <w:rPr>
                <w:rFonts w:ascii="Arial" w:hAnsi="Arial" w:cs="Arial"/>
                <w:sz w:val="18"/>
                <w:szCs w:val="18"/>
              </w:rPr>
            </w:pPr>
            <w:r>
              <w:rPr>
                <w:rFonts w:ascii="Arial" w:hAnsi="Arial" w:cs="Arial"/>
                <w:sz w:val="18"/>
                <w:szCs w:val="18"/>
              </w:rPr>
              <w:t>$1.9m</w:t>
            </w:r>
          </w:p>
        </w:tc>
        <w:tc>
          <w:tcPr>
            <w:tcW w:w="1028" w:type="dxa"/>
          </w:tcPr>
          <w:p w:rsidR="00000000" w:rsidRDefault="00D35856">
            <w:pPr>
              <w:keepNext w:val="0"/>
              <w:widowControl w:val="0"/>
              <w:spacing w:after="0"/>
              <w:jc w:val="left"/>
              <w:rPr>
                <w:rFonts w:ascii="Arial" w:hAnsi="Arial" w:cs="Arial"/>
                <w:i/>
                <w:sz w:val="18"/>
                <w:szCs w:val="18"/>
              </w:rPr>
            </w:pPr>
            <w:r>
              <w:rPr>
                <w:rFonts w:ascii="Arial" w:hAnsi="Arial" w:cs="Arial"/>
                <w:i/>
                <w:sz w:val="18"/>
                <w:szCs w:val="18"/>
              </w:rPr>
              <w:t>$4.3m</w:t>
            </w:r>
          </w:p>
        </w:tc>
        <w:tc>
          <w:tcPr>
            <w:tcW w:w="2232" w:type="dxa"/>
          </w:tcPr>
          <w:p w:rsidR="00000000" w:rsidRDefault="00D35856">
            <w:pPr>
              <w:keepNext w:val="0"/>
              <w:widowControl w:val="0"/>
              <w:spacing w:after="0"/>
              <w:jc w:val="left"/>
              <w:rPr>
                <w:rFonts w:ascii="Arial" w:hAnsi="Arial" w:cs="Arial"/>
                <w:sz w:val="18"/>
              </w:rPr>
            </w:pPr>
            <w:r>
              <w:rPr>
                <w:rFonts w:ascii="Arial" w:hAnsi="Arial" w:cs="Arial"/>
                <w:sz w:val="18"/>
              </w:rPr>
              <w:t>7-14 hours of staff time per model registration</w:t>
            </w:r>
          </w:p>
        </w:tc>
        <w:tc>
          <w:tcPr>
            <w:tcW w:w="2693" w:type="dxa"/>
          </w:tcPr>
          <w:p w:rsidR="00000000" w:rsidRDefault="00D35856">
            <w:pPr>
              <w:keepNext w:val="0"/>
              <w:widowControl w:val="0"/>
              <w:spacing w:after="0"/>
              <w:jc w:val="left"/>
              <w:rPr>
                <w:rFonts w:ascii="Arial" w:hAnsi="Arial" w:cs="Arial"/>
                <w:i/>
                <w:sz w:val="18"/>
              </w:rPr>
            </w:pPr>
            <w:r>
              <w:rPr>
                <w:rFonts w:ascii="Arial" w:hAnsi="Arial" w:cs="Arial"/>
                <w:i/>
                <w:sz w:val="18"/>
              </w:rPr>
              <w:t>28 hours per model registration</w:t>
            </w:r>
          </w:p>
        </w:tc>
      </w:tr>
      <w:tr w:rsidR="00000000">
        <w:tc>
          <w:tcPr>
            <w:tcW w:w="1384" w:type="dxa"/>
          </w:tcPr>
          <w:p w:rsidR="00000000" w:rsidRDefault="00D35856">
            <w:pPr>
              <w:keepNext w:val="0"/>
              <w:widowControl w:val="0"/>
              <w:spacing w:after="0"/>
              <w:jc w:val="left"/>
              <w:rPr>
                <w:rFonts w:ascii="Arial" w:hAnsi="Arial" w:cs="Arial"/>
                <w:sz w:val="18"/>
                <w:szCs w:val="18"/>
              </w:rPr>
            </w:pPr>
            <w:r>
              <w:rPr>
                <w:rFonts w:ascii="Arial" w:hAnsi="Arial" w:cs="Arial"/>
                <w:sz w:val="18"/>
                <w:szCs w:val="18"/>
              </w:rPr>
              <w:t>Testing costs</w:t>
            </w:r>
          </w:p>
        </w:tc>
        <w:tc>
          <w:tcPr>
            <w:tcW w:w="1276" w:type="dxa"/>
          </w:tcPr>
          <w:p w:rsidR="00000000" w:rsidRDefault="00D35856">
            <w:pPr>
              <w:keepNext w:val="0"/>
              <w:widowControl w:val="0"/>
              <w:spacing w:after="0"/>
              <w:jc w:val="left"/>
              <w:rPr>
                <w:rFonts w:ascii="Arial" w:hAnsi="Arial" w:cs="Arial"/>
                <w:sz w:val="18"/>
                <w:szCs w:val="18"/>
              </w:rPr>
            </w:pPr>
            <w:r>
              <w:rPr>
                <w:rFonts w:ascii="Arial" w:hAnsi="Arial" w:cs="Arial"/>
                <w:sz w:val="18"/>
                <w:szCs w:val="18"/>
              </w:rPr>
              <w:t>$2.0m</w:t>
            </w:r>
          </w:p>
        </w:tc>
        <w:tc>
          <w:tcPr>
            <w:tcW w:w="1028" w:type="dxa"/>
          </w:tcPr>
          <w:p w:rsidR="00000000" w:rsidRDefault="00D35856">
            <w:pPr>
              <w:keepNext w:val="0"/>
              <w:widowControl w:val="0"/>
              <w:spacing w:after="0"/>
              <w:jc w:val="left"/>
              <w:rPr>
                <w:rFonts w:ascii="Arial" w:hAnsi="Arial" w:cs="Arial"/>
                <w:i/>
                <w:sz w:val="18"/>
                <w:szCs w:val="18"/>
              </w:rPr>
            </w:pPr>
            <w:r>
              <w:rPr>
                <w:rFonts w:ascii="Arial" w:hAnsi="Arial" w:cs="Arial"/>
                <w:i/>
                <w:sz w:val="18"/>
                <w:szCs w:val="18"/>
              </w:rPr>
              <w:t>$3.0m</w:t>
            </w:r>
          </w:p>
        </w:tc>
        <w:tc>
          <w:tcPr>
            <w:tcW w:w="2232" w:type="dxa"/>
          </w:tcPr>
          <w:p w:rsidR="00000000" w:rsidRDefault="00D35856">
            <w:pPr>
              <w:keepNext w:val="0"/>
              <w:widowControl w:val="0"/>
              <w:spacing w:after="0"/>
              <w:jc w:val="left"/>
              <w:rPr>
                <w:rFonts w:ascii="Arial" w:hAnsi="Arial" w:cs="Arial"/>
                <w:sz w:val="18"/>
              </w:rPr>
            </w:pPr>
            <w:r>
              <w:rPr>
                <w:rFonts w:ascii="Arial" w:hAnsi="Arial" w:cs="Arial"/>
                <w:sz w:val="18"/>
              </w:rPr>
              <w:t>A proportion of models for some product types tested internally in supplier laboratories at negligible additional cost</w:t>
            </w:r>
          </w:p>
        </w:tc>
        <w:tc>
          <w:tcPr>
            <w:tcW w:w="2693" w:type="dxa"/>
          </w:tcPr>
          <w:p w:rsidR="00000000" w:rsidRDefault="00D35856">
            <w:pPr>
              <w:keepNext w:val="0"/>
              <w:widowControl w:val="0"/>
              <w:spacing w:after="0"/>
              <w:jc w:val="left"/>
              <w:rPr>
                <w:rFonts w:ascii="Arial" w:hAnsi="Arial" w:cs="Arial"/>
                <w:i/>
                <w:sz w:val="18"/>
              </w:rPr>
            </w:pPr>
            <w:r>
              <w:rPr>
                <w:rFonts w:ascii="Arial" w:hAnsi="Arial" w:cs="Arial"/>
                <w:i/>
                <w:sz w:val="18"/>
              </w:rPr>
              <w:t xml:space="preserve">100% of model testing costs at external laboratory testing costs </w:t>
            </w:r>
          </w:p>
        </w:tc>
      </w:tr>
      <w:tr w:rsidR="00000000">
        <w:tc>
          <w:tcPr>
            <w:tcW w:w="1384" w:type="dxa"/>
          </w:tcPr>
          <w:p w:rsidR="00000000" w:rsidRDefault="00D35856">
            <w:pPr>
              <w:keepNext w:val="0"/>
              <w:widowControl w:val="0"/>
              <w:spacing w:after="0"/>
              <w:jc w:val="left"/>
              <w:rPr>
                <w:rFonts w:ascii="Arial" w:hAnsi="Arial" w:cs="Arial"/>
                <w:sz w:val="18"/>
                <w:szCs w:val="18"/>
              </w:rPr>
            </w:pPr>
            <w:r>
              <w:rPr>
                <w:rFonts w:ascii="Arial" w:hAnsi="Arial" w:cs="Arial"/>
                <w:sz w:val="18"/>
                <w:szCs w:val="18"/>
              </w:rPr>
              <w:t>Labelling costs</w:t>
            </w:r>
          </w:p>
        </w:tc>
        <w:tc>
          <w:tcPr>
            <w:tcW w:w="1276" w:type="dxa"/>
          </w:tcPr>
          <w:p w:rsidR="00000000" w:rsidRDefault="00D35856">
            <w:pPr>
              <w:keepNext w:val="0"/>
              <w:widowControl w:val="0"/>
              <w:spacing w:after="0"/>
              <w:jc w:val="left"/>
              <w:rPr>
                <w:rFonts w:ascii="Arial" w:hAnsi="Arial" w:cs="Arial"/>
                <w:sz w:val="18"/>
                <w:szCs w:val="18"/>
              </w:rPr>
            </w:pPr>
            <w:r>
              <w:rPr>
                <w:rFonts w:ascii="Arial" w:hAnsi="Arial" w:cs="Arial"/>
                <w:sz w:val="18"/>
                <w:szCs w:val="18"/>
              </w:rPr>
              <w:t>$7.3m</w:t>
            </w:r>
          </w:p>
        </w:tc>
        <w:tc>
          <w:tcPr>
            <w:tcW w:w="1028" w:type="dxa"/>
          </w:tcPr>
          <w:p w:rsidR="00000000" w:rsidRDefault="00D35856">
            <w:pPr>
              <w:keepNext w:val="0"/>
              <w:widowControl w:val="0"/>
              <w:spacing w:after="0"/>
              <w:jc w:val="left"/>
              <w:rPr>
                <w:rFonts w:ascii="Arial" w:hAnsi="Arial" w:cs="Arial"/>
                <w:i/>
                <w:sz w:val="18"/>
                <w:szCs w:val="18"/>
              </w:rPr>
            </w:pPr>
            <w:r>
              <w:rPr>
                <w:rFonts w:ascii="Arial" w:hAnsi="Arial" w:cs="Arial"/>
                <w:i/>
                <w:sz w:val="18"/>
                <w:szCs w:val="18"/>
              </w:rPr>
              <w:t>$21.2m</w:t>
            </w:r>
          </w:p>
        </w:tc>
        <w:tc>
          <w:tcPr>
            <w:tcW w:w="2232" w:type="dxa"/>
          </w:tcPr>
          <w:p w:rsidR="00000000" w:rsidRDefault="00D35856">
            <w:pPr>
              <w:keepNext w:val="0"/>
              <w:widowControl w:val="0"/>
              <w:spacing w:after="0"/>
              <w:jc w:val="left"/>
              <w:rPr>
                <w:rFonts w:ascii="Arial" w:hAnsi="Arial" w:cs="Arial"/>
                <w:sz w:val="18"/>
                <w:lang w:val="it-IT"/>
              </w:rPr>
            </w:pPr>
            <w:r>
              <w:rPr>
                <w:rFonts w:ascii="Arial" w:hAnsi="Arial" w:cs="Arial"/>
                <w:sz w:val="18"/>
                <w:lang w:val="it-IT"/>
              </w:rPr>
              <w:t>10c to 20c per label</w:t>
            </w:r>
          </w:p>
        </w:tc>
        <w:tc>
          <w:tcPr>
            <w:tcW w:w="2693" w:type="dxa"/>
          </w:tcPr>
          <w:p w:rsidR="00000000" w:rsidRDefault="00D35856">
            <w:pPr>
              <w:keepNext w:val="0"/>
              <w:widowControl w:val="0"/>
              <w:spacing w:after="0"/>
              <w:jc w:val="left"/>
              <w:rPr>
                <w:rFonts w:ascii="Arial" w:hAnsi="Arial" w:cs="Arial"/>
                <w:i/>
                <w:sz w:val="18"/>
              </w:rPr>
            </w:pPr>
            <w:r>
              <w:rPr>
                <w:rFonts w:ascii="Arial" w:hAnsi="Arial" w:cs="Arial"/>
                <w:i/>
                <w:sz w:val="18"/>
              </w:rPr>
              <w:t xml:space="preserve">50c per label </w:t>
            </w:r>
          </w:p>
        </w:tc>
      </w:tr>
      <w:tr w:rsidR="00000000">
        <w:tc>
          <w:tcPr>
            <w:tcW w:w="1384" w:type="dxa"/>
            <w:tcBorders>
              <w:bottom w:val="single" w:sz="12" w:space="0" w:color="auto"/>
            </w:tcBorders>
          </w:tcPr>
          <w:p w:rsidR="00000000" w:rsidRDefault="00D35856">
            <w:pPr>
              <w:keepNext w:val="0"/>
              <w:widowControl w:val="0"/>
              <w:spacing w:after="0"/>
              <w:jc w:val="left"/>
              <w:rPr>
                <w:rFonts w:ascii="Arial" w:hAnsi="Arial" w:cs="Arial"/>
                <w:b/>
                <w:sz w:val="18"/>
                <w:szCs w:val="18"/>
              </w:rPr>
            </w:pPr>
            <w:r>
              <w:rPr>
                <w:rFonts w:ascii="Arial" w:hAnsi="Arial" w:cs="Arial"/>
                <w:b/>
                <w:sz w:val="18"/>
                <w:szCs w:val="18"/>
              </w:rPr>
              <w:t>TOTAL</w:t>
            </w:r>
          </w:p>
        </w:tc>
        <w:tc>
          <w:tcPr>
            <w:tcW w:w="1276" w:type="dxa"/>
            <w:tcBorders>
              <w:bottom w:val="single" w:sz="12" w:space="0" w:color="auto"/>
            </w:tcBorders>
          </w:tcPr>
          <w:p w:rsidR="00000000" w:rsidRDefault="00D35856">
            <w:pPr>
              <w:keepNext w:val="0"/>
              <w:widowControl w:val="0"/>
              <w:spacing w:after="0"/>
              <w:jc w:val="left"/>
              <w:rPr>
                <w:rFonts w:ascii="Arial" w:hAnsi="Arial" w:cs="Arial"/>
                <w:b/>
                <w:sz w:val="18"/>
                <w:szCs w:val="18"/>
              </w:rPr>
            </w:pPr>
            <w:r>
              <w:rPr>
                <w:rFonts w:ascii="Arial" w:hAnsi="Arial" w:cs="Arial"/>
                <w:b/>
                <w:sz w:val="18"/>
                <w:szCs w:val="18"/>
              </w:rPr>
              <w:t>$15.9m</w:t>
            </w:r>
          </w:p>
        </w:tc>
        <w:tc>
          <w:tcPr>
            <w:tcW w:w="1028" w:type="dxa"/>
            <w:tcBorders>
              <w:bottom w:val="single" w:sz="12" w:space="0" w:color="auto"/>
            </w:tcBorders>
          </w:tcPr>
          <w:p w:rsidR="00000000" w:rsidRDefault="00D35856">
            <w:pPr>
              <w:keepNext w:val="0"/>
              <w:widowControl w:val="0"/>
              <w:spacing w:after="0"/>
              <w:jc w:val="left"/>
              <w:rPr>
                <w:rFonts w:ascii="Arial" w:hAnsi="Arial" w:cs="Arial"/>
                <w:b/>
                <w:i/>
                <w:sz w:val="18"/>
                <w:szCs w:val="18"/>
              </w:rPr>
            </w:pPr>
            <w:r>
              <w:rPr>
                <w:rFonts w:ascii="Arial" w:hAnsi="Arial" w:cs="Arial"/>
                <w:b/>
                <w:i/>
                <w:sz w:val="18"/>
                <w:szCs w:val="18"/>
              </w:rPr>
              <w:t>$36.4m</w:t>
            </w:r>
          </w:p>
        </w:tc>
        <w:tc>
          <w:tcPr>
            <w:tcW w:w="2232" w:type="dxa"/>
            <w:tcBorders>
              <w:bottom w:val="single" w:sz="12" w:space="0" w:color="auto"/>
            </w:tcBorders>
          </w:tcPr>
          <w:p w:rsidR="00000000" w:rsidRDefault="00D35856">
            <w:pPr>
              <w:keepNext w:val="0"/>
              <w:widowControl w:val="0"/>
              <w:spacing w:after="0"/>
              <w:jc w:val="left"/>
              <w:rPr>
                <w:rFonts w:ascii="Arial" w:hAnsi="Arial" w:cs="Arial"/>
                <w:sz w:val="18"/>
              </w:rPr>
            </w:pPr>
          </w:p>
        </w:tc>
        <w:tc>
          <w:tcPr>
            <w:tcW w:w="2693" w:type="dxa"/>
            <w:tcBorders>
              <w:bottom w:val="single" w:sz="12" w:space="0" w:color="auto"/>
            </w:tcBorders>
          </w:tcPr>
          <w:p w:rsidR="00000000" w:rsidRDefault="00D35856">
            <w:pPr>
              <w:keepNext w:val="0"/>
              <w:widowControl w:val="0"/>
              <w:spacing w:after="0"/>
              <w:jc w:val="left"/>
              <w:rPr>
                <w:rFonts w:ascii="Arial" w:hAnsi="Arial" w:cs="Arial"/>
                <w:sz w:val="18"/>
              </w:rPr>
            </w:pPr>
          </w:p>
        </w:tc>
      </w:tr>
    </w:tbl>
    <w:p w:rsidR="00000000" w:rsidRDefault="00D35856">
      <w:pPr>
        <w:keepNext w:val="0"/>
        <w:widowControl w:val="0"/>
      </w:pPr>
      <w:r>
        <w:rPr>
          <w:rFonts w:ascii="Arial" w:hAnsi="Arial" w:cs="Arial"/>
          <w:sz w:val="18"/>
          <w:szCs w:val="18"/>
        </w:rPr>
        <w:t>Note: All estimates of NPV based on 7% discount rate.</w:t>
      </w:r>
    </w:p>
    <w:p w:rsidR="00000000" w:rsidRDefault="00D35856">
      <w:pPr>
        <w:keepNext w:val="0"/>
        <w:widowControl w:val="0"/>
      </w:pPr>
      <w:r>
        <w:t>Another key source of uncertainty is the extent to which consumers will pay a price premium for products. As detailed earlier in this section, price premiums are likely to be negligible for plumbing products, and substantially short-term and lower than tha</w:t>
      </w:r>
      <w:r>
        <w:t>t estimated for washing machines and dishwashers in the 2004 RIS. A conservative (upper) estimate of costs due to price premiums across all products (assuming that the washing machine price premium accounts for 66% of overall cost due to premiums, as in th</w:t>
      </w:r>
      <w:r>
        <w:t xml:space="preserve">e 2004 RIS), is $17m NPV. </w:t>
      </w:r>
    </w:p>
    <w:p w:rsidR="00000000" w:rsidRDefault="00D35856">
      <w:pPr>
        <w:keepNext w:val="0"/>
        <w:widowControl w:val="0"/>
      </w:pPr>
      <w:r>
        <w:t xml:space="preserve">Future energy and water bill savings are particularly dependent on future water and energy prices. The range of estimates of bill savings for customers under different future prices is shown in </w:t>
      </w:r>
      <w:fldSimple w:instr=" REF _Ref191472292 \h  \* MERGEFORMAT ">
        <w:r>
          <w:t xml:space="preserve">Table </w:t>
        </w:r>
        <w:r>
          <w:rPr>
            <w:noProof/>
          </w:rPr>
          <w:t>4</w:t>
        </w:r>
        <w:r>
          <w:rPr>
            <w:noProof/>
          </w:rPr>
          <w:noBreakHyphen/>
          <w:t>16</w:t>
        </w:r>
      </w:fldSimple>
      <w:r>
        <w:t>.</w:t>
      </w:r>
    </w:p>
    <w:p w:rsidR="00000000" w:rsidRDefault="00D35856">
      <w:pPr>
        <w:pStyle w:val="Caption"/>
        <w:keepNext w:val="0"/>
      </w:pPr>
      <w:bookmarkStart w:id="245" w:name="_Ref191472292"/>
      <w:bookmarkStart w:id="246" w:name="_Toc199933809"/>
      <w:r>
        <w:t xml:space="preserve">Table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Table \* ARABIC \s 1 </w:instrText>
      </w:r>
      <w:r>
        <w:fldChar w:fldCharType="separate"/>
      </w:r>
      <w:r>
        <w:rPr>
          <w:noProof/>
        </w:rPr>
        <w:t>16</w:t>
      </w:r>
      <w:r>
        <w:fldChar w:fldCharType="end"/>
      </w:r>
      <w:bookmarkEnd w:id="245"/>
      <w:r>
        <w:t>: Range of estimates of customer bill savings NPV (2005-06 to 2020-21)</w:t>
      </w:r>
      <w:bookmarkEnd w:id="246"/>
    </w:p>
    <w:tbl>
      <w:tblPr>
        <w:tblStyle w:val="TableGrid"/>
        <w:tblW w:w="0" w:type="auto"/>
        <w:tblBorders>
          <w:top w:val="single" w:sz="12" w:space="0" w:color="auto"/>
          <w:left w:val="single" w:sz="12" w:space="0" w:color="auto"/>
          <w:bottom w:val="single" w:sz="12" w:space="0" w:color="auto"/>
          <w:right w:val="single" w:sz="12" w:space="0" w:color="auto"/>
          <w:insideV w:val="none" w:sz="0" w:space="0" w:color="auto"/>
        </w:tblBorders>
        <w:tblLook w:val="01E0"/>
      </w:tblPr>
      <w:tblGrid>
        <w:gridCol w:w="2376"/>
        <w:gridCol w:w="2127"/>
        <w:gridCol w:w="1984"/>
        <w:gridCol w:w="2126"/>
      </w:tblGrid>
      <w:tr w:rsidR="00000000">
        <w:trPr>
          <w:trHeight w:val="366"/>
        </w:trPr>
        <w:tc>
          <w:tcPr>
            <w:tcW w:w="2376" w:type="dxa"/>
            <w:vMerge w:val="restart"/>
            <w:tcBorders>
              <w:top w:val="single" w:sz="12" w:space="0" w:color="auto"/>
            </w:tcBorders>
            <w:shd w:val="clear" w:color="auto" w:fill="CCCCCC"/>
          </w:tcPr>
          <w:p w:rsidR="00000000" w:rsidRDefault="00D35856">
            <w:pPr>
              <w:keepNext w:val="0"/>
              <w:widowControl w:val="0"/>
              <w:spacing w:after="0"/>
              <w:jc w:val="center"/>
              <w:rPr>
                <w:rFonts w:ascii="Arial" w:hAnsi="Arial"/>
                <w:b/>
                <w:sz w:val="20"/>
              </w:rPr>
            </w:pPr>
            <w:r>
              <w:rPr>
                <w:rFonts w:ascii="Arial" w:hAnsi="Arial"/>
                <w:b/>
                <w:sz w:val="20"/>
              </w:rPr>
              <w:t>Benefit</w:t>
            </w:r>
          </w:p>
          <w:p w:rsidR="00000000" w:rsidRDefault="00D35856">
            <w:pPr>
              <w:keepNext w:val="0"/>
              <w:widowControl w:val="0"/>
              <w:spacing w:after="0"/>
              <w:rPr>
                <w:rFonts w:ascii="Arial" w:hAnsi="Arial"/>
                <w:b/>
                <w:sz w:val="20"/>
              </w:rPr>
            </w:pPr>
          </w:p>
        </w:tc>
        <w:tc>
          <w:tcPr>
            <w:tcW w:w="6237" w:type="dxa"/>
            <w:gridSpan w:val="3"/>
            <w:tcBorders>
              <w:top w:val="single" w:sz="12" w:space="0" w:color="auto"/>
            </w:tcBorders>
            <w:shd w:val="clear" w:color="auto" w:fill="CCCCCC"/>
          </w:tcPr>
          <w:p w:rsidR="00000000" w:rsidRDefault="00D35856">
            <w:pPr>
              <w:keepNext w:val="0"/>
              <w:widowControl w:val="0"/>
              <w:spacing w:after="0"/>
              <w:jc w:val="center"/>
              <w:rPr>
                <w:rFonts w:ascii="Arial" w:hAnsi="Arial"/>
                <w:b/>
                <w:sz w:val="20"/>
              </w:rPr>
            </w:pPr>
            <w:r>
              <w:rPr>
                <w:rFonts w:ascii="Arial" w:hAnsi="Arial"/>
                <w:b/>
                <w:sz w:val="20"/>
              </w:rPr>
              <w:t>Annual increase in real water and energy prices</w:t>
            </w:r>
          </w:p>
        </w:tc>
      </w:tr>
      <w:tr w:rsidR="00000000">
        <w:trPr>
          <w:trHeight w:val="366"/>
        </w:trPr>
        <w:tc>
          <w:tcPr>
            <w:tcW w:w="2376" w:type="dxa"/>
            <w:vMerge/>
            <w:shd w:val="clear" w:color="auto" w:fill="CCCCCC"/>
          </w:tcPr>
          <w:p w:rsidR="00000000" w:rsidRDefault="00D35856">
            <w:pPr>
              <w:keepNext w:val="0"/>
              <w:widowControl w:val="0"/>
              <w:spacing w:after="0"/>
              <w:jc w:val="center"/>
              <w:rPr>
                <w:rFonts w:ascii="Arial" w:hAnsi="Arial"/>
                <w:b/>
                <w:sz w:val="20"/>
              </w:rPr>
            </w:pPr>
          </w:p>
        </w:tc>
        <w:tc>
          <w:tcPr>
            <w:tcW w:w="2127" w:type="dxa"/>
            <w:shd w:val="clear" w:color="auto" w:fill="CCCCCC"/>
          </w:tcPr>
          <w:p w:rsidR="00000000" w:rsidRDefault="00D35856">
            <w:pPr>
              <w:keepNext w:val="0"/>
              <w:widowControl w:val="0"/>
              <w:spacing w:after="0"/>
              <w:jc w:val="center"/>
              <w:rPr>
                <w:rFonts w:ascii="Arial" w:hAnsi="Arial"/>
                <w:b/>
                <w:sz w:val="20"/>
              </w:rPr>
            </w:pPr>
            <w:r>
              <w:rPr>
                <w:rFonts w:ascii="Arial" w:hAnsi="Arial"/>
                <w:b/>
                <w:sz w:val="20"/>
              </w:rPr>
              <w:t>0%</w:t>
            </w:r>
          </w:p>
        </w:tc>
        <w:tc>
          <w:tcPr>
            <w:tcW w:w="1984" w:type="dxa"/>
            <w:shd w:val="clear" w:color="auto" w:fill="CCCCCC"/>
          </w:tcPr>
          <w:p w:rsidR="00000000" w:rsidRDefault="00D35856">
            <w:pPr>
              <w:keepNext w:val="0"/>
              <w:widowControl w:val="0"/>
              <w:spacing w:after="0"/>
              <w:jc w:val="center"/>
              <w:rPr>
                <w:rFonts w:ascii="Arial" w:hAnsi="Arial"/>
                <w:b/>
                <w:sz w:val="20"/>
              </w:rPr>
            </w:pPr>
            <w:r>
              <w:rPr>
                <w:rFonts w:ascii="Arial" w:hAnsi="Arial"/>
                <w:b/>
                <w:sz w:val="20"/>
              </w:rPr>
              <w:t>5%</w:t>
            </w:r>
          </w:p>
        </w:tc>
        <w:tc>
          <w:tcPr>
            <w:tcW w:w="2126" w:type="dxa"/>
            <w:shd w:val="clear" w:color="auto" w:fill="CCCCCC"/>
          </w:tcPr>
          <w:p w:rsidR="00000000" w:rsidRDefault="00D35856">
            <w:pPr>
              <w:keepNext w:val="0"/>
              <w:widowControl w:val="0"/>
              <w:spacing w:after="0"/>
              <w:jc w:val="center"/>
              <w:rPr>
                <w:rFonts w:ascii="Arial" w:hAnsi="Arial"/>
                <w:b/>
                <w:sz w:val="20"/>
              </w:rPr>
            </w:pPr>
            <w:r>
              <w:rPr>
                <w:rFonts w:ascii="Arial" w:hAnsi="Arial"/>
                <w:b/>
                <w:sz w:val="20"/>
              </w:rPr>
              <w:t>10%</w:t>
            </w:r>
          </w:p>
        </w:tc>
      </w:tr>
      <w:tr w:rsidR="00000000">
        <w:tc>
          <w:tcPr>
            <w:tcW w:w="2376" w:type="dxa"/>
          </w:tcPr>
          <w:p w:rsidR="00000000" w:rsidRDefault="00D35856">
            <w:pPr>
              <w:keepNext w:val="0"/>
              <w:widowControl w:val="0"/>
              <w:spacing w:after="0"/>
              <w:jc w:val="left"/>
              <w:rPr>
                <w:rFonts w:ascii="Arial" w:hAnsi="Arial" w:cs="Arial"/>
                <w:sz w:val="18"/>
                <w:szCs w:val="18"/>
              </w:rPr>
            </w:pPr>
            <w:r>
              <w:rPr>
                <w:rFonts w:ascii="Arial" w:hAnsi="Arial" w:cs="Arial"/>
                <w:sz w:val="18"/>
                <w:szCs w:val="18"/>
              </w:rPr>
              <w:t>Avoided water bills</w:t>
            </w:r>
          </w:p>
        </w:tc>
        <w:tc>
          <w:tcPr>
            <w:tcW w:w="2127" w:type="dxa"/>
          </w:tcPr>
          <w:p w:rsidR="00000000" w:rsidRDefault="00D35856">
            <w:pPr>
              <w:keepNext w:val="0"/>
              <w:widowControl w:val="0"/>
              <w:spacing w:after="0"/>
              <w:jc w:val="center"/>
              <w:rPr>
                <w:rFonts w:ascii="Arial" w:hAnsi="Arial" w:cs="Arial"/>
                <w:sz w:val="18"/>
                <w:szCs w:val="18"/>
              </w:rPr>
            </w:pPr>
            <w:r>
              <w:rPr>
                <w:rFonts w:ascii="Arial" w:hAnsi="Arial" w:cs="Arial"/>
                <w:sz w:val="18"/>
                <w:szCs w:val="18"/>
              </w:rPr>
              <w:t>$403 million</w:t>
            </w:r>
          </w:p>
        </w:tc>
        <w:tc>
          <w:tcPr>
            <w:tcW w:w="1984" w:type="dxa"/>
          </w:tcPr>
          <w:p w:rsidR="00000000" w:rsidRDefault="00D35856">
            <w:pPr>
              <w:keepNext w:val="0"/>
              <w:widowControl w:val="0"/>
              <w:spacing w:after="0"/>
              <w:jc w:val="center"/>
              <w:rPr>
                <w:rFonts w:ascii="Arial" w:hAnsi="Arial" w:cs="Arial"/>
                <w:sz w:val="18"/>
                <w:szCs w:val="18"/>
              </w:rPr>
            </w:pPr>
            <w:r>
              <w:rPr>
                <w:rFonts w:ascii="Arial" w:hAnsi="Arial" w:cs="Arial"/>
                <w:sz w:val="18"/>
                <w:szCs w:val="18"/>
              </w:rPr>
              <w:t>$660 million</w:t>
            </w:r>
          </w:p>
        </w:tc>
        <w:tc>
          <w:tcPr>
            <w:tcW w:w="2126" w:type="dxa"/>
          </w:tcPr>
          <w:p w:rsidR="00000000" w:rsidRDefault="00D35856">
            <w:pPr>
              <w:keepNext w:val="0"/>
              <w:widowControl w:val="0"/>
              <w:spacing w:after="0"/>
              <w:jc w:val="center"/>
              <w:rPr>
                <w:rFonts w:ascii="Arial" w:hAnsi="Arial" w:cs="Arial"/>
                <w:sz w:val="18"/>
                <w:szCs w:val="18"/>
              </w:rPr>
            </w:pPr>
            <w:r>
              <w:rPr>
                <w:rFonts w:ascii="Arial" w:hAnsi="Arial" w:cs="Arial"/>
                <w:sz w:val="18"/>
                <w:szCs w:val="18"/>
              </w:rPr>
              <w:t>$1087 million</w:t>
            </w:r>
          </w:p>
        </w:tc>
      </w:tr>
      <w:tr w:rsidR="00000000">
        <w:tc>
          <w:tcPr>
            <w:tcW w:w="2376" w:type="dxa"/>
          </w:tcPr>
          <w:p w:rsidR="00000000" w:rsidRDefault="00D35856">
            <w:pPr>
              <w:keepNext w:val="0"/>
              <w:widowControl w:val="0"/>
              <w:spacing w:after="0"/>
              <w:jc w:val="left"/>
              <w:rPr>
                <w:rFonts w:ascii="Arial" w:hAnsi="Arial" w:cs="Arial"/>
                <w:sz w:val="18"/>
                <w:szCs w:val="18"/>
              </w:rPr>
            </w:pPr>
            <w:r>
              <w:rPr>
                <w:rFonts w:ascii="Arial" w:hAnsi="Arial" w:cs="Arial"/>
                <w:sz w:val="18"/>
                <w:szCs w:val="18"/>
              </w:rPr>
              <w:t>Avoided energy bills</w:t>
            </w:r>
          </w:p>
        </w:tc>
        <w:tc>
          <w:tcPr>
            <w:tcW w:w="2127" w:type="dxa"/>
          </w:tcPr>
          <w:p w:rsidR="00000000" w:rsidRDefault="00D35856">
            <w:pPr>
              <w:keepNext w:val="0"/>
              <w:widowControl w:val="0"/>
              <w:spacing w:after="0"/>
              <w:jc w:val="center"/>
              <w:rPr>
                <w:rFonts w:ascii="Arial" w:hAnsi="Arial" w:cs="Arial"/>
                <w:sz w:val="18"/>
                <w:szCs w:val="18"/>
              </w:rPr>
            </w:pPr>
            <w:r>
              <w:rPr>
                <w:rFonts w:ascii="Arial" w:hAnsi="Arial" w:cs="Arial"/>
                <w:sz w:val="18"/>
                <w:szCs w:val="18"/>
              </w:rPr>
              <w:t>$376 million</w:t>
            </w:r>
          </w:p>
        </w:tc>
        <w:tc>
          <w:tcPr>
            <w:tcW w:w="1984" w:type="dxa"/>
          </w:tcPr>
          <w:p w:rsidR="00000000" w:rsidRDefault="00D35856">
            <w:pPr>
              <w:keepNext w:val="0"/>
              <w:widowControl w:val="0"/>
              <w:spacing w:after="0"/>
              <w:jc w:val="center"/>
              <w:rPr>
                <w:rFonts w:ascii="Arial" w:hAnsi="Arial" w:cs="Arial"/>
                <w:sz w:val="18"/>
                <w:szCs w:val="18"/>
              </w:rPr>
            </w:pPr>
            <w:r>
              <w:rPr>
                <w:rFonts w:ascii="Arial" w:hAnsi="Arial" w:cs="Arial"/>
                <w:sz w:val="18"/>
                <w:szCs w:val="18"/>
              </w:rPr>
              <w:t>$613 million</w:t>
            </w:r>
          </w:p>
        </w:tc>
        <w:tc>
          <w:tcPr>
            <w:tcW w:w="2126" w:type="dxa"/>
          </w:tcPr>
          <w:p w:rsidR="00000000" w:rsidRDefault="00D35856">
            <w:pPr>
              <w:keepNext w:val="0"/>
              <w:widowControl w:val="0"/>
              <w:spacing w:after="0"/>
              <w:jc w:val="center"/>
              <w:rPr>
                <w:rFonts w:ascii="Arial" w:hAnsi="Arial" w:cs="Arial"/>
                <w:sz w:val="18"/>
                <w:szCs w:val="18"/>
              </w:rPr>
            </w:pPr>
            <w:r>
              <w:rPr>
                <w:rFonts w:ascii="Arial" w:hAnsi="Arial" w:cs="Arial"/>
                <w:sz w:val="18"/>
                <w:szCs w:val="18"/>
              </w:rPr>
              <w:t>$1007 million</w:t>
            </w:r>
          </w:p>
        </w:tc>
      </w:tr>
      <w:tr w:rsidR="00000000">
        <w:tc>
          <w:tcPr>
            <w:tcW w:w="2376" w:type="dxa"/>
            <w:tcBorders>
              <w:bottom w:val="single" w:sz="12" w:space="0" w:color="auto"/>
            </w:tcBorders>
          </w:tcPr>
          <w:p w:rsidR="00000000" w:rsidRDefault="00D35856">
            <w:pPr>
              <w:keepNext w:val="0"/>
              <w:widowControl w:val="0"/>
              <w:spacing w:after="0"/>
              <w:jc w:val="left"/>
              <w:rPr>
                <w:rFonts w:ascii="Arial" w:hAnsi="Arial" w:cs="Arial"/>
                <w:sz w:val="18"/>
                <w:szCs w:val="18"/>
              </w:rPr>
            </w:pPr>
            <w:r>
              <w:rPr>
                <w:rFonts w:ascii="Arial" w:hAnsi="Arial" w:cs="Arial"/>
                <w:sz w:val="18"/>
                <w:szCs w:val="18"/>
              </w:rPr>
              <w:t>TOTAL</w:t>
            </w:r>
          </w:p>
        </w:tc>
        <w:tc>
          <w:tcPr>
            <w:tcW w:w="2127" w:type="dxa"/>
            <w:tcBorders>
              <w:bottom w:val="single" w:sz="12" w:space="0" w:color="auto"/>
            </w:tcBorders>
          </w:tcPr>
          <w:p w:rsidR="00000000" w:rsidRDefault="00D35856">
            <w:pPr>
              <w:keepNext w:val="0"/>
              <w:widowControl w:val="0"/>
              <w:spacing w:after="0"/>
              <w:jc w:val="center"/>
              <w:rPr>
                <w:rFonts w:ascii="Arial" w:hAnsi="Arial" w:cs="Arial"/>
                <w:sz w:val="18"/>
                <w:szCs w:val="18"/>
              </w:rPr>
            </w:pPr>
            <w:r>
              <w:rPr>
                <w:rFonts w:ascii="Arial" w:hAnsi="Arial" w:cs="Arial"/>
                <w:sz w:val="18"/>
                <w:szCs w:val="18"/>
              </w:rPr>
              <w:t>$779 million</w:t>
            </w:r>
          </w:p>
        </w:tc>
        <w:tc>
          <w:tcPr>
            <w:tcW w:w="1984" w:type="dxa"/>
            <w:tcBorders>
              <w:bottom w:val="single" w:sz="12" w:space="0" w:color="auto"/>
            </w:tcBorders>
          </w:tcPr>
          <w:p w:rsidR="00000000" w:rsidRDefault="00D35856">
            <w:pPr>
              <w:keepNext w:val="0"/>
              <w:widowControl w:val="0"/>
              <w:spacing w:after="0"/>
              <w:jc w:val="center"/>
              <w:rPr>
                <w:rFonts w:ascii="Arial" w:hAnsi="Arial" w:cs="Arial"/>
                <w:sz w:val="18"/>
                <w:szCs w:val="18"/>
              </w:rPr>
            </w:pPr>
            <w:r>
              <w:rPr>
                <w:rFonts w:ascii="Arial" w:hAnsi="Arial" w:cs="Arial"/>
                <w:sz w:val="18"/>
                <w:szCs w:val="18"/>
              </w:rPr>
              <w:t>$1273 million</w:t>
            </w:r>
          </w:p>
        </w:tc>
        <w:tc>
          <w:tcPr>
            <w:tcW w:w="2126" w:type="dxa"/>
            <w:tcBorders>
              <w:bottom w:val="single" w:sz="12" w:space="0" w:color="auto"/>
            </w:tcBorders>
          </w:tcPr>
          <w:p w:rsidR="00000000" w:rsidRDefault="00D35856">
            <w:pPr>
              <w:keepNext w:val="0"/>
              <w:widowControl w:val="0"/>
              <w:spacing w:after="0"/>
              <w:jc w:val="center"/>
              <w:rPr>
                <w:rFonts w:ascii="Arial" w:hAnsi="Arial" w:cs="Arial"/>
                <w:sz w:val="18"/>
                <w:szCs w:val="18"/>
              </w:rPr>
            </w:pPr>
            <w:r>
              <w:rPr>
                <w:rFonts w:ascii="Arial" w:hAnsi="Arial" w:cs="Arial"/>
                <w:sz w:val="18"/>
                <w:szCs w:val="18"/>
              </w:rPr>
              <w:t>$2094 million</w:t>
            </w:r>
          </w:p>
        </w:tc>
      </w:tr>
    </w:tbl>
    <w:p w:rsidR="00000000" w:rsidRDefault="00D35856">
      <w:pPr>
        <w:keepNext w:val="0"/>
        <w:widowControl w:val="0"/>
      </w:pPr>
      <w:r>
        <w:rPr>
          <w:rFonts w:ascii="Arial" w:hAnsi="Arial" w:cs="Arial"/>
          <w:sz w:val="18"/>
          <w:szCs w:val="18"/>
        </w:rPr>
        <w:t>Note: All estimates of NPV based on 7% discount rate.</w:t>
      </w:r>
    </w:p>
    <w:p w:rsidR="00000000" w:rsidRDefault="00D35856">
      <w:pPr>
        <w:pStyle w:val="Heading3"/>
        <w:keepNext w:val="0"/>
        <w:pageBreakBefore/>
        <w:numPr>
          <w:ilvl w:val="2"/>
          <w:numId w:val="3"/>
        </w:numPr>
        <w:tabs>
          <w:tab w:val="clear" w:pos="1440"/>
        </w:tabs>
        <w:ind w:left="851" w:hanging="851"/>
        <w:rPr>
          <w:color w:val="auto"/>
        </w:rPr>
      </w:pPr>
      <w:bookmarkStart w:id="247" w:name="_Toc199933768"/>
      <w:r>
        <w:rPr>
          <w:color w:val="auto"/>
        </w:rPr>
        <w:lastRenderedPageBreak/>
        <w:t>Whole of society net costs</w:t>
      </w:r>
      <w:bookmarkEnd w:id="247"/>
    </w:p>
    <w:p w:rsidR="00000000" w:rsidRDefault="00D35856">
      <w:pPr>
        <w:keepNext w:val="0"/>
      </w:pPr>
      <w:r>
        <w:t>As detailed in section 2, the net costs to society (</w:t>
      </w:r>
      <w:smartTag w:uri="urn:schemas-microsoft-com:office:smarttags" w:element="City">
        <w:r>
          <w:t>Australia</w:t>
        </w:r>
      </w:smartTag>
      <w:r>
        <w:t xml:space="preserve">) do not include transfer costs between stakeholders. For example, water </w:t>
      </w:r>
      <w:r>
        <w:t>and energy bill savings are benefits for consumers, but equivalent costs to water and energy businesses. Similarly, registration fees are a cost to suppliers but a source of revenue to DEWHA. These type of costs/benefits are considered transfer costs rathe</w:t>
      </w:r>
      <w:r>
        <w:t xml:space="preserve">r than net costs. </w:t>
      </w:r>
    </w:p>
    <w:p w:rsidR="00000000" w:rsidRDefault="00D35856">
      <w:pPr>
        <w:keepNext w:val="0"/>
      </w:pPr>
      <w:r>
        <w:t xml:space="preserve">To estimate Australia-wide cost-effectiveness of </w:t>
      </w:r>
      <w:smartTag w:uri="urn:schemas-microsoft-com:office:smarttags" w:element="City">
        <w:r>
          <w:t>WELS</w:t>
        </w:r>
      </w:smartTag>
      <w:r>
        <w:t>, the following costs are included:</w:t>
      </w:r>
    </w:p>
    <w:p w:rsidR="00000000" w:rsidRDefault="00D35856">
      <w:pPr>
        <w:keepNext w:val="0"/>
        <w:numPr>
          <w:ilvl w:val="0"/>
          <w:numId w:val="20"/>
        </w:numPr>
      </w:pPr>
      <w:r>
        <w:t xml:space="preserve">DEWHA’s administration costs </w:t>
      </w:r>
    </w:p>
    <w:p w:rsidR="00000000" w:rsidRDefault="00D35856">
      <w:pPr>
        <w:keepNext w:val="0"/>
        <w:numPr>
          <w:ilvl w:val="0"/>
          <w:numId w:val="20"/>
        </w:numPr>
      </w:pPr>
      <w:r>
        <w:t>suppliers’ time costs, testing costs and labelling costs</w:t>
      </w:r>
    </w:p>
    <w:p w:rsidR="00000000" w:rsidRDefault="00D35856">
      <w:pPr>
        <w:keepNext w:val="0"/>
        <w:numPr>
          <w:ilvl w:val="0"/>
          <w:numId w:val="20"/>
        </w:numPr>
      </w:pPr>
      <w:r>
        <w:t>consumers’ costs due to price premiums (estimat</w:t>
      </w:r>
      <w:r>
        <w:t>ed negligible as a base case).</w:t>
      </w:r>
    </w:p>
    <w:p w:rsidR="00000000" w:rsidRDefault="00D35856">
      <w:pPr>
        <w:keepNext w:val="0"/>
      </w:pPr>
      <w:r>
        <w:t>The whole-of-society (</w:t>
      </w:r>
      <w:smartTag w:uri="urn:schemas-microsoft-com:office:smarttags" w:element="City">
        <w:r>
          <w:t>Australia</w:t>
        </w:r>
      </w:smartTag>
      <w:r>
        <w:t xml:space="preserve">) net cost of </w:t>
      </w:r>
      <w:smartTag w:uri="urn:schemas-microsoft-com:office:smarttags" w:element="City">
        <w:r>
          <w:t>WELS</w:t>
        </w:r>
      </w:smartTag>
      <w:r>
        <w:t xml:space="preserve">, NPV 2005—2006 to 2020—2021 at 2007 dollars, are detailed in </w:t>
      </w:r>
      <w:r>
        <w:fldChar w:fldCharType="begin"/>
      </w:r>
      <w:r>
        <w:instrText xml:space="preserve"> REF _Ref195500939 \h </w:instrText>
      </w:r>
      <w:r>
        <w:fldChar w:fldCharType="separate"/>
      </w:r>
      <w:r>
        <w:t xml:space="preserve">Table </w:t>
      </w:r>
      <w:r>
        <w:rPr>
          <w:noProof/>
        </w:rPr>
        <w:t>4</w:t>
      </w:r>
      <w:r>
        <w:noBreakHyphen/>
      </w:r>
      <w:r>
        <w:rPr>
          <w:noProof/>
        </w:rPr>
        <w:t>17</w:t>
      </w:r>
      <w:r>
        <w:fldChar w:fldCharType="end"/>
      </w:r>
      <w:r>
        <w:t>. E</w:t>
      </w:r>
      <w:r>
        <w:t>stimates are provided for both base case and “upper limiting” costs.</w:t>
      </w:r>
    </w:p>
    <w:p w:rsidR="00000000" w:rsidRDefault="00D35856">
      <w:pPr>
        <w:pStyle w:val="Caption"/>
        <w:keepNext w:val="0"/>
      </w:pPr>
      <w:bookmarkStart w:id="248" w:name="_Ref195500939"/>
      <w:bookmarkStart w:id="249" w:name="_Toc199933810"/>
      <w:r>
        <w:t xml:space="preserve">Table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Table \* ARABIC \s 1 </w:instrText>
      </w:r>
      <w:r>
        <w:fldChar w:fldCharType="separate"/>
      </w:r>
      <w:r>
        <w:rPr>
          <w:noProof/>
        </w:rPr>
        <w:t>17</w:t>
      </w:r>
      <w:r>
        <w:fldChar w:fldCharType="end"/>
      </w:r>
      <w:bookmarkEnd w:id="248"/>
      <w:r>
        <w:t xml:space="preserve">: Net cost of </w:t>
      </w:r>
      <w:smartTag w:uri="urn:schemas-microsoft-com:office:smarttags" w:element="City">
        <w:r>
          <w:t>WELS</w:t>
        </w:r>
      </w:smartTag>
      <w:r>
        <w:t>, whole-of-society (</w:t>
      </w:r>
      <w:smartTag w:uri="urn:schemas-microsoft-com:office:smarttags" w:element="City">
        <w:r>
          <w:t>Australia</w:t>
        </w:r>
      </w:smartTag>
      <w:r>
        <w:t>) NPV (2005—2006 to 2020—2021)</w:t>
      </w:r>
      <w:bookmarkEnd w:id="249"/>
    </w:p>
    <w:tbl>
      <w:tblPr>
        <w:tblStyle w:val="TableGrid"/>
        <w:tblW w:w="5000" w:type="pct"/>
        <w:tblBorders>
          <w:top w:val="single" w:sz="12" w:space="0" w:color="auto"/>
          <w:left w:val="single" w:sz="12" w:space="0" w:color="auto"/>
          <w:bottom w:val="single" w:sz="12" w:space="0" w:color="auto"/>
          <w:right w:val="single" w:sz="12" w:space="0" w:color="auto"/>
          <w:insideV w:val="none" w:sz="0" w:space="0" w:color="auto"/>
        </w:tblBorders>
        <w:tblLook w:val="01E0"/>
      </w:tblPr>
      <w:tblGrid>
        <w:gridCol w:w="2629"/>
        <w:gridCol w:w="2450"/>
        <w:gridCol w:w="3635"/>
      </w:tblGrid>
      <w:tr w:rsidR="00000000">
        <w:trPr>
          <w:trHeight w:val="366"/>
        </w:trPr>
        <w:tc>
          <w:tcPr>
            <w:tcW w:w="1508" w:type="pct"/>
            <w:tcBorders>
              <w:top w:val="single" w:sz="12" w:space="0" w:color="auto"/>
            </w:tcBorders>
            <w:shd w:val="clear" w:color="auto" w:fill="CCCCCC"/>
          </w:tcPr>
          <w:p w:rsidR="00000000" w:rsidRDefault="00D35856">
            <w:pPr>
              <w:keepNext w:val="0"/>
              <w:widowControl w:val="0"/>
              <w:spacing w:after="0"/>
              <w:jc w:val="center"/>
              <w:rPr>
                <w:rFonts w:ascii="Arial" w:hAnsi="Arial"/>
                <w:b/>
                <w:sz w:val="20"/>
              </w:rPr>
            </w:pPr>
            <w:r>
              <w:rPr>
                <w:rFonts w:ascii="Arial" w:hAnsi="Arial"/>
                <w:b/>
                <w:sz w:val="20"/>
              </w:rPr>
              <w:t>Discount rate</w:t>
            </w:r>
          </w:p>
        </w:tc>
        <w:tc>
          <w:tcPr>
            <w:tcW w:w="1406" w:type="pct"/>
            <w:tcBorders>
              <w:top w:val="single" w:sz="12" w:space="0" w:color="auto"/>
            </w:tcBorders>
            <w:shd w:val="clear" w:color="auto" w:fill="CCCCCC"/>
          </w:tcPr>
          <w:p w:rsidR="00000000" w:rsidRDefault="00D35856">
            <w:pPr>
              <w:keepNext w:val="0"/>
              <w:widowControl w:val="0"/>
              <w:spacing w:after="0"/>
              <w:jc w:val="center"/>
              <w:rPr>
                <w:rFonts w:ascii="Arial" w:hAnsi="Arial"/>
                <w:b/>
                <w:sz w:val="20"/>
              </w:rPr>
            </w:pPr>
            <w:r>
              <w:rPr>
                <w:rFonts w:ascii="Arial" w:hAnsi="Arial"/>
                <w:b/>
                <w:sz w:val="20"/>
              </w:rPr>
              <w:t>Net cost</w:t>
            </w:r>
          </w:p>
        </w:tc>
        <w:tc>
          <w:tcPr>
            <w:tcW w:w="2086" w:type="pct"/>
            <w:tcBorders>
              <w:top w:val="single" w:sz="12" w:space="0" w:color="auto"/>
            </w:tcBorders>
            <w:shd w:val="clear" w:color="auto" w:fill="CCCCCC"/>
          </w:tcPr>
          <w:p w:rsidR="00000000" w:rsidRDefault="00D35856">
            <w:pPr>
              <w:keepNext w:val="0"/>
              <w:widowControl w:val="0"/>
              <w:spacing w:after="0"/>
              <w:jc w:val="center"/>
              <w:rPr>
                <w:rFonts w:ascii="Arial" w:hAnsi="Arial"/>
                <w:b/>
                <w:sz w:val="20"/>
              </w:rPr>
            </w:pPr>
            <w:r>
              <w:rPr>
                <w:rFonts w:ascii="Arial" w:hAnsi="Arial"/>
                <w:b/>
                <w:sz w:val="20"/>
              </w:rPr>
              <w:t>Upper estimate</w:t>
            </w:r>
          </w:p>
        </w:tc>
      </w:tr>
      <w:tr w:rsidR="00000000">
        <w:tc>
          <w:tcPr>
            <w:tcW w:w="1508" w:type="pct"/>
          </w:tcPr>
          <w:p w:rsidR="00000000" w:rsidRDefault="00D35856">
            <w:pPr>
              <w:keepNext w:val="0"/>
              <w:widowControl w:val="0"/>
              <w:spacing w:after="0"/>
              <w:jc w:val="center"/>
              <w:rPr>
                <w:rFonts w:ascii="Arial" w:hAnsi="Arial" w:cs="Arial"/>
                <w:sz w:val="18"/>
                <w:szCs w:val="18"/>
              </w:rPr>
            </w:pPr>
            <w:r>
              <w:rPr>
                <w:rFonts w:ascii="Arial" w:hAnsi="Arial" w:cs="Arial"/>
                <w:sz w:val="18"/>
                <w:szCs w:val="18"/>
              </w:rPr>
              <w:t>1.6%</w:t>
            </w:r>
          </w:p>
        </w:tc>
        <w:tc>
          <w:tcPr>
            <w:tcW w:w="1406" w:type="pct"/>
          </w:tcPr>
          <w:p w:rsidR="00000000" w:rsidRDefault="00D35856">
            <w:pPr>
              <w:keepNext w:val="0"/>
              <w:widowControl w:val="0"/>
              <w:spacing w:after="0"/>
              <w:jc w:val="center"/>
              <w:rPr>
                <w:rFonts w:ascii="Arial" w:hAnsi="Arial" w:cs="Arial"/>
                <w:sz w:val="18"/>
                <w:szCs w:val="18"/>
              </w:rPr>
            </w:pPr>
            <w:r>
              <w:rPr>
                <w:rFonts w:ascii="Arial" w:hAnsi="Arial" w:cs="Arial"/>
                <w:sz w:val="18"/>
                <w:szCs w:val="18"/>
              </w:rPr>
              <w:t>$36.2m</w:t>
            </w:r>
          </w:p>
        </w:tc>
        <w:tc>
          <w:tcPr>
            <w:tcW w:w="2086" w:type="pct"/>
          </w:tcPr>
          <w:p w:rsidR="00000000" w:rsidRDefault="00D35856">
            <w:pPr>
              <w:keepNext w:val="0"/>
              <w:widowControl w:val="0"/>
              <w:spacing w:after="0"/>
              <w:jc w:val="center"/>
              <w:rPr>
                <w:rFonts w:ascii="Arial" w:hAnsi="Arial" w:cs="Arial"/>
                <w:sz w:val="18"/>
                <w:szCs w:val="18"/>
              </w:rPr>
            </w:pPr>
            <w:r>
              <w:rPr>
                <w:rFonts w:ascii="Arial" w:hAnsi="Arial" w:cs="Arial"/>
                <w:sz w:val="18"/>
                <w:szCs w:val="18"/>
              </w:rPr>
              <w:t>$76.9m</w:t>
            </w:r>
          </w:p>
        </w:tc>
      </w:tr>
      <w:tr w:rsidR="00000000">
        <w:tc>
          <w:tcPr>
            <w:tcW w:w="1508" w:type="pct"/>
          </w:tcPr>
          <w:p w:rsidR="00000000" w:rsidRDefault="00D35856">
            <w:pPr>
              <w:keepNext w:val="0"/>
              <w:widowControl w:val="0"/>
              <w:spacing w:after="0"/>
              <w:jc w:val="center"/>
              <w:rPr>
                <w:rFonts w:ascii="Arial" w:hAnsi="Arial" w:cs="Arial"/>
                <w:sz w:val="18"/>
                <w:szCs w:val="18"/>
              </w:rPr>
            </w:pPr>
            <w:r>
              <w:rPr>
                <w:rFonts w:ascii="Arial" w:hAnsi="Arial" w:cs="Arial"/>
                <w:sz w:val="18"/>
                <w:szCs w:val="18"/>
              </w:rPr>
              <w:t>3.5%</w:t>
            </w:r>
          </w:p>
        </w:tc>
        <w:tc>
          <w:tcPr>
            <w:tcW w:w="1406" w:type="pct"/>
          </w:tcPr>
          <w:p w:rsidR="00000000" w:rsidRDefault="00D35856">
            <w:pPr>
              <w:keepNext w:val="0"/>
              <w:widowControl w:val="0"/>
              <w:spacing w:after="0"/>
              <w:jc w:val="center"/>
              <w:rPr>
                <w:rFonts w:ascii="Arial" w:hAnsi="Arial" w:cs="Arial"/>
                <w:sz w:val="18"/>
                <w:szCs w:val="18"/>
              </w:rPr>
            </w:pPr>
            <w:r>
              <w:rPr>
                <w:rFonts w:ascii="Arial" w:hAnsi="Arial" w:cs="Arial"/>
                <w:sz w:val="18"/>
                <w:szCs w:val="18"/>
              </w:rPr>
              <w:t>$32.2m</w:t>
            </w:r>
          </w:p>
        </w:tc>
        <w:tc>
          <w:tcPr>
            <w:tcW w:w="2086" w:type="pct"/>
          </w:tcPr>
          <w:p w:rsidR="00000000" w:rsidRDefault="00D35856">
            <w:pPr>
              <w:keepNext w:val="0"/>
              <w:widowControl w:val="0"/>
              <w:spacing w:after="0"/>
              <w:jc w:val="center"/>
              <w:rPr>
                <w:rFonts w:ascii="Arial" w:hAnsi="Arial" w:cs="Arial"/>
                <w:sz w:val="18"/>
                <w:szCs w:val="18"/>
              </w:rPr>
            </w:pPr>
            <w:r>
              <w:rPr>
                <w:rFonts w:ascii="Arial" w:hAnsi="Arial" w:cs="Arial"/>
                <w:sz w:val="18"/>
                <w:szCs w:val="18"/>
              </w:rPr>
              <w:t>$69.9m</w:t>
            </w:r>
          </w:p>
        </w:tc>
      </w:tr>
      <w:tr w:rsidR="00000000">
        <w:tc>
          <w:tcPr>
            <w:tcW w:w="1508" w:type="pct"/>
          </w:tcPr>
          <w:p w:rsidR="00000000" w:rsidRDefault="00D35856">
            <w:pPr>
              <w:keepNext w:val="0"/>
              <w:widowControl w:val="0"/>
              <w:spacing w:after="0"/>
              <w:jc w:val="center"/>
              <w:rPr>
                <w:rFonts w:ascii="Arial" w:hAnsi="Arial" w:cs="Arial"/>
                <w:sz w:val="18"/>
                <w:szCs w:val="18"/>
              </w:rPr>
            </w:pPr>
            <w:r>
              <w:rPr>
                <w:rFonts w:ascii="Arial" w:hAnsi="Arial" w:cs="Arial"/>
                <w:sz w:val="18"/>
                <w:szCs w:val="18"/>
              </w:rPr>
              <w:t>4%</w:t>
            </w:r>
          </w:p>
        </w:tc>
        <w:tc>
          <w:tcPr>
            <w:tcW w:w="1406" w:type="pct"/>
          </w:tcPr>
          <w:p w:rsidR="00000000" w:rsidRDefault="00D35856">
            <w:pPr>
              <w:keepNext w:val="0"/>
              <w:widowControl w:val="0"/>
              <w:spacing w:after="0"/>
              <w:jc w:val="center"/>
              <w:rPr>
                <w:rFonts w:ascii="Arial" w:hAnsi="Arial" w:cs="Arial"/>
                <w:sz w:val="18"/>
                <w:szCs w:val="18"/>
              </w:rPr>
            </w:pPr>
            <w:r>
              <w:rPr>
                <w:rFonts w:ascii="Arial" w:hAnsi="Arial" w:cs="Arial"/>
                <w:sz w:val="18"/>
                <w:szCs w:val="18"/>
              </w:rPr>
              <w:t>$31.7m</w:t>
            </w:r>
          </w:p>
        </w:tc>
        <w:tc>
          <w:tcPr>
            <w:tcW w:w="2086" w:type="pct"/>
          </w:tcPr>
          <w:p w:rsidR="00000000" w:rsidRDefault="00D35856">
            <w:pPr>
              <w:keepNext w:val="0"/>
              <w:widowControl w:val="0"/>
              <w:spacing w:after="0"/>
              <w:jc w:val="center"/>
              <w:rPr>
                <w:rFonts w:ascii="Arial" w:hAnsi="Arial" w:cs="Arial"/>
                <w:sz w:val="18"/>
                <w:szCs w:val="18"/>
              </w:rPr>
            </w:pPr>
            <w:r>
              <w:rPr>
                <w:rFonts w:ascii="Arial" w:hAnsi="Arial" w:cs="Arial"/>
                <w:sz w:val="18"/>
                <w:szCs w:val="18"/>
              </w:rPr>
              <w:t>$69.4m</w:t>
            </w:r>
          </w:p>
        </w:tc>
      </w:tr>
      <w:tr w:rsidR="00000000">
        <w:tc>
          <w:tcPr>
            <w:tcW w:w="1508" w:type="pct"/>
          </w:tcPr>
          <w:p w:rsidR="00000000" w:rsidRDefault="00D35856">
            <w:pPr>
              <w:keepNext w:val="0"/>
              <w:widowControl w:val="0"/>
              <w:spacing w:after="0"/>
              <w:jc w:val="center"/>
              <w:rPr>
                <w:rFonts w:ascii="Arial" w:hAnsi="Arial" w:cs="Arial"/>
                <w:sz w:val="18"/>
                <w:szCs w:val="18"/>
              </w:rPr>
            </w:pPr>
            <w:r>
              <w:rPr>
                <w:rFonts w:ascii="Arial" w:hAnsi="Arial" w:cs="Arial"/>
                <w:sz w:val="18"/>
                <w:szCs w:val="18"/>
              </w:rPr>
              <w:t>7%</w:t>
            </w:r>
          </w:p>
        </w:tc>
        <w:tc>
          <w:tcPr>
            <w:tcW w:w="1406" w:type="pct"/>
          </w:tcPr>
          <w:p w:rsidR="00000000" w:rsidRDefault="00D35856">
            <w:pPr>
              <w:keepNext w:val="0"/>
              <w:widowControl w:val="0"/>
              <w:spacing w:after="0"/>
              <w:jc w:val="center"/>
              <w:rPr>
                <w:rFonts w:ascii="Arial" w:hAnsi="Arial" w:cs="Arial"/>
                <w:sz w:val="18"/>
                <w:szCs w:val="18"/>
              </w:rPr>
            </w:pPr>
            <w:r>
              <w:rPr>
                <w:rFonts w:ascii="Arial" w:hAnsi="Arial" w:cs="Arial"/>
                <w:sz w:val="18"/>
                <w:szCs w:val="18"/>
              </w:rPr>
              <w:t>$27.2m</w:t>
            </w:r>
          </w:p>
        </w:tc>
        <w:tc>
          <w:tcPr>
            <w:tcW w:w="2086" w:type="pct"/>
          </w:tcPr>
          <w:p w:rsidR="00000000" w:rsidRDefault="00D35856">
            <w:pPr>
              <w:keepNext w:val="0"/>
              <w:widowControl w:val="0"/>
              <w:spacing w:after="0"/>
              <w:jc w:val="center"/>
              <w:rPr>
                <w:rFonts w:ascii="Arial" w:hAnsi="Arial" w:cs="Arial"/>
                <w:sz w:val="18"/>
                <w:szCs w:val="18"/>
              </w:rPr>
            </w:pPr>
            <w:r>
              <w:rPr>
                <w:rFonts w:ascii="Arial" w:hAnsi="Arial" w:cs="Arial"/>
                <w:sz w:val="18"/>
                <w:szCs w:val="18"/>
              </w:rPr>
              <w:t>$61.8m</w:t>
            </w:r>
          </w:p>
        </w:tc>
      </w:tr>
      <w:tr w:rsidR="00000000">
        <w:tc>
          <w:tcPr>
            <w:tcW w:w="1508" w:type="pct"/>
            <w:tcBorders>
              <w:bottom w:val="single" w:sz="12" w:space="0" w:color="auto"/>
            </w:tcBorders>
          </w:tcPr>
          <w:p w:rsidR="00000000" w:rsidRDefault="00D35856">
            <w:pPr>
              <w:keepNext w:val="0"/>
              <w:widowControl w:val="0"/>
              <w:spacing w:after="0"/>
              <w:jc w:val="center"/>
              <w:rPr>
                <w:rFonts w:ascii="Arial" w:hAnsi="Arial" w:cs="Arial"/>
                <w:sz w:val="18"/>
                <w:szCs w:val="18"/>
              </w:rPr>
            </w:pPr>
            <w:r>
              <w:rPr>
                <w:rFonts w:ascii="Arial" w:hAnsi="Arial" w:cs="Arial"/>
                <w:sz w:val="18"/>
                <w:szCs w:val="18"/>
              </w:rPr>
              <w:t>10%</w:t>
            </w:r>
          </w:p>
        </w:tc>
        <w:tc>
          <w:tcPr>
            <w:tcW w:w="1406" w:type="pct"/>
            <w:tcBorders>
              <w:bottom w:val="single" w:sz="12" w:space="0" w:color="auto"/>
            </w:tcBorders>
          </w:tcPr>
          <w:p w:rsidR="00000000" w:rsidRDefault="00D35856">
            <w:pPr>
              <w:keepNext w:val="0"/>
              <w:widowControl w:val="0"/>
              <w:spacing w:after="0"/>
              <w:jc w:val="center"/>
              <w:rPr>
                <w:rFonts w:ascii="Arial" w:hAnsi="Arial" w:cs="Arial"/>
                <w:sz w:val="18"/>
                <w:szCs w:val="18"/>
              </w:rPr>
            </w:pPr>
            <w:r>
              <w:rPr>
                <w:rFonts w:ascii="Arial" w:hAnsi="Arial" w:cs="Arial"/>
                <w:sz w:val="18"/>
                <w:szCs w:val="18"/>
              </w:rPr>
              <w:t>$23.9m</w:t>
            </w:r>
          </w:p>
        </w:tc>
        <w:tc>
          <w:tcPr>
            <w:tcW w:w="2086" w:type="pct"/>
            <w:tcBorders>
              <w:bottom w:val="single" w:sz="12" w:space="0" w:color="auto"/>
            </w:tcBorders>
          </w:tcPr>
          <w:p w:rsidR="00000000" w:rsidRDefault="00D35856">
            <w:pPr>
              <w:keepNext w:val="0"/>
              <w:widowControl w:val="0"/>
              <w:spacing w:after="0"/>
              <w:jc w:val="center"/>
              <w:rPr>
                <w:rFonts w:ascii="Arial" w:hAnsi="Arial" w:cs="Arial"/>
                <w:sz w:val="18"/>
                <w:szCs w:val="18"/>
              </w:rPr>
            </w:pPr>
            <w:r>
              <w:rPr>
                <w:rFonts w:ascii="Arial" w:hAnsi="Arial" w:cs="Arial"/>
                <w:sz w:val="18"/>
                <w:szCs w:val="18"/>
              </w:rPr>
              <w:t>$55.9m</w:t>
            </w:r>
          </w:p>
        </w:tc>
      </w:tr>
    </w:tbl>
    <w:p w:rsidR="00000000" w:rsidRDefault="00D35856">
      <w:pPr>
        <w:keepNext w:val="0"/>
      </w:pPr>
    </w:p>
    <w:p w:rsidR="00000000" w:rsidRDefault="00D35856">
      <w:pPr>
        <w:pStyle w:val="Heading1"/>
        <w:numPr>
          <w:ilvl w:val="0"/>
          <w:numId w:val="3"/>
        </w:numPr>
        <w:tabs>
          <w:tab w:val="clear" w:pos="1152"/>
        </w:tabs>
        <w:ind w:left="567" w:hanging="567"/>
        <w:rPr>
          <w:color w:val="auto"/>
        </w:rPr>
      </w:pPr>
      <w:bookmarkStart w:id="250" w:name="_Toc199933769"/>
      <w:r>
        <w:rPr>
          <w:color w:val="auto"/>
        </w:rPr>
        <w:lastRenderedPageBreak/>
        <w:t>Comparative cost-effectiveness analysis</w:t>
      </w:r>
      <w:bookmarkEnd w:id="250"/>
    </w:p>
    <w:p w:rsidR="00000000" w:rsidRDefault="00D35856">
      <w:pPr>
        <w:pStyle w:val="Heading2"/>
        <w:numPr>
          <w:ilvl w:val="1"/>
          <w:numId w:val="3"/>
        </w:numPr>
        <w:tabs>
          <w:tab w:val="clear" w:pos="1296"/>
        </w:tabs>
        <w:ind w:left="567" w:hanging="567"/>
        <w:rPr>
          <w:color w:val="auto"/>
        </w:rPr>
      </w:pPr>
      <w:bookmarkStart w:id="251" w:name="_Toc191452261"/>
      <w:bookmarkStart w:id="252" w:name="_Toc199933770"/>
      <w:r>
        <w:rPr>
          <w:color w:val="auto"/>
        </w:rPr>
        <w:t xml:space="preserve">Results of cost effectiveness analysis for </w:t>
      </w:r>
      <w:smartTag w:uri="urn:schemas-microsoft-com:office:smarttags" w:element="City">
        <w:r>
          <w:rPr>
            <w:color w:val="auto"/>
          </w:rPr>
          <w:t>WELS</w:t>
        </w:r>
      </w:smartTag>
      <w:bookmarkEnd w:id="251"/>
      <w:bookmarkEnd w:id="252"/>
      <w:r>
        <w:rPr>
          <w:color w:val="auto"/>
        </w:rPr>
        <w:t xml:space="preserve"> </w:t>
      </w:r>
    </w:p>
    <w:p w:rsidR="00000000" w:rsidRDefault="00D35856">
      <w:pPr>
        <w:keepNext w:val="0"/>
        <w:widowControl w:val="0"/>
      </w:pPr>
      <w:r>
        <w:t xml:space="preserve">Compared to the majority  of other current or planned demand and supply options in </w:t>
      </w:r>
      <w:smartTag w:uri="urn:schemas-microsoft-com:office:smarttags" w:element="City">
        <w:r>
          <w:t>Australia</w:t>
        </w:r>
      </w:smartTag>
      <w:r>
        <w:t xml:space="preserve">, the </w:t>
      </w:r>
      <w:smartTag w:uri="urn:schemas-microsoft-com:office:smarttags" w:element="City">
        <w:r>
          <w:t>WELS</w:t>
        </w:r>
      </w:smartTag>
      <w:r>
        <w:t xml:space="preserve"> option is a significantly more cost-effective option to ac</w:t>
      </w:r>
      <w:r>
        <w:t xml:space="preserve">hieve the objective of water security. The cost effectiveness of </w:t>
      </w:r>
      <w:smartTag w:uri="urn:schemas-microsoft-com:office:smarttags" w:element="City">
        <w:r>
          <w:t>WELS</w:t>
        </w:r>
      </w:smartTag>
      <w:r>
        <w:t xml:space="preserve"> at various discount rates is depicted in </w:t>
      </w:r>
      <w:fldSimple w:instr=" REF _Ref188082646 \h  \* MERGEFORMAT ">
        <w:r>
          <w:t xml:space="preserve">Table </w:t>
        </w:r>
        <w:r>
          <w:rPr>
            <w:noProof/>
          </w:rPr>
          <w:t>5</w:t>
        </w:r>
        <w:r>
          <w:rPr>
            <w:noProof/>
          </w:rPr>
          <w:noBreakHyphen/>
          <w:t>1</w:t>
        </w:r>
      </w:fldSimple>
      <w:r>
        <w:t xml:space="preserve">, in each case showing </w:t>
      </w:r>
      <w:smartTag w:uri="urn:schemas-microsoft-com:office:smarttags" w:element="City">
        <w:r>
          <w:t>WELS</w:t>
        </w:r>
      </w:smartTag>
      <w:r>
        <w:t xml:space="preserve"> as a cost-effective option.</w:t>
      </w:r>
    </w:p>
    <w:p w:rsidR="00000000" w:rsidRDefault="00D35856">
      <w:pPr>
        <w:keepNext w:val="0"/>
        <w:widowControl w:val="0"/>
      </w:pPr>
      <w:r>
        <w:t xml:space="preserve">This result was corroborated by a previous estimate of the </w:t>
      </w:r>
      <w:r>
        <w:rPr>
          <w:i/>
        </w:rPr>
        <w:t>cost-effectiveness</w:t>
      </w:r>
      <w:r>
        <w:t xml:space="preserve"> of </w:t>
      </w:r>
      <w:smartTag w:uri="urn:schemas-microsoft-com:office:smarttags" w:element="City">
        <w:r>
          <w:t>WELS</w:t>
        </w:r>
      </w:smartTag>
      <w:r>
        <w:t xml:space="preserve"> which reports a figure of $0.05/kL (White </w:t>
      </w:r>
      <w:r>
        <w:rPr>
          <w:i/>
        </w:rPr>
        <w:t xml:space="preserve">et al., </w:t>
      </w:r>
      <w:r>
        <w:t xml:space="preserve">2006). In this previous analysis, the costs and water savings were based on projections prior to the scheme being implemented. </w:t>
      </w:r>
    </w:p>
    <w:p w:rsidR="00000000" w:rsidRDefault="00D35856">
      <w:pPr>
        <w:pStyle w:val="Caption"/>
        <w:keepNext w:val="0"/>
      </w:pPr>
      <w:bookmarkStart w:id="253" w:name="_Ref188082646"/>
      <w:bookmarkStart w:id="254" w:name="_Toc199933811"/>
      <w:r>
        <w:t xml:space="preserve">Table </w:t>
      </w:r>
      <w:r>
        <w:fldChar w:fldCharType="begin"/>
      </w:r>
      <w:r>
        <w:instrText xml:space="preserve"> STYLEREF 1 \s </w:instrText>
      </w:r>
      <w:r>
        <w:fldChar w:fldCharType="separate"/>
      </w:r>
      <w:r>
        <w:rPr>
          <w:noProof/>
        </w:rPr>
        <w:t>5</w:t>
      </w:r>
      <w:r>
        <w:fldChar w:fldCharType="end"/>
      </w:r>
      <w:r>
        <w:noBreakHyphen/>
      </w:r>
      <w:r>
        <w:fldChar w:fldCharType="begin"/>
      </w:r>
      <w:r>
        <w:instrText xml:space="preserve"> SEQ Table \* ARABIC \s 1 </w:instrText>
      </w:r>
      <w:r>
        <w:fldChar w:fldCharType="separate"/>
      </w:r>
      <w:r>
        <w:rPr>
          <w:noProof/>
        </w:rPr>
        <w:t>1</w:t>
      </w:r>
      <w:r>
        <w:fldChar w:fldCharType="end"/>
      </w:r>
      <w:bookmarkEnd w:id="253"/>
      <w:r>
        <w:t>: Net Present Value and Unit Cost</w:t>
      </w:r>
      <w:r>
        <w:t xml:space="preserve"> of </w:t>
      </w:r>
      <w:smartTag w:uri="urn:schemas-microsoft-com:office:smarttags" w:element="City">
        <w:r>
          <w:t>WELS</w:t>
        </w:r>
      </w:smartTag>
      <w:bookmarkEnd w:id="254"/>
    </w:p>
    <w:tbl>
      <w:tblPr>
        <w:tblW w:w="5000" w:type="pct"/>
        <w:tblLook w:val="0000"/>
      </w:tblPr>
      <w:tblGrid>
        <w:gridCol w:w="2616"/>
        <w:gridCol w:w="3156"/>
        <w:gridCol w:w="2942"/>
      </w:tblGrid>
      <w:tr w:rsidR="00000000">
        <w:trPr>
          <w:trHeight w:val="480"/>
        </w:trPr>
        <w:tc>
          <w:tcPr>
            <w:tcW w:w="1501" w:type="pct"/>
            <w:tcBorders>
              <w:top w:val="single" w:sz="4" w:space="0" w:color="auto"/>
              <w:left w:val="single" w:sz="4" w:space="0" w:color="auto"/>
              <w:bottom w:val="single" w:sz="4" w:space="0" w:color="auto"/>
              <w:right w:val="single" w:sz="4" w:space="0" w:color="auto"/>
            </w:tcBorders>
            <w:shd w:val="clear" w:color="auto" w:fill="808080"/>
            <w:vAlign w:val="center"/>
          </w:tcPr>
          <w:p w:rsidR="00000000" w:rsidRDefault="00D35856">
            <w:pPr>
              <w:keepNext w:val="0"/>
              <w:widowControl w:val="0"/>
              <w:spacing w:after="0"/>
              <w:jc w:val="center"/>
              <w:rPr>
                <w:rFonts w:ascii="Arial" w:hAnsi="Arial" w:cs="Arial"/>
                <w:b/>
                <w:sz w:val="20"/>
                <w:szCs w:val="20"/>
                <w:lang w:val="en-US"/>
              </w:rPr>
            </w:pPr>
            <w:r>
              <w:rPr>
                <w:rFonts w:ascii="Arial" w:hAnsi="Arial" w:cs="Arial"/>
                <w:b/>
                <w:sz w:val="20"/>
                <w:szCs w:val="20"/>
                <w:lang w:val="en-US"/>
              </w:rPr>
              <w:t>Discount Rate</w:t>
            </w:r>
          </w:p>
        </w:tc>
        <w:tc>
          <w:tcPr>
            <w:tcW w:w="1811" w:type="pct"/>
            <w:tcBorders>
              <w:top w:val="single" w:sz="4" w:space="0" w:color="auto"/>
              <w:left w:val="single" w:sz="4" w:space="0" w:color="auto"/>
              <w:bottom w:val="single" w:sz="4" w:space="0" w:color="auto"/>
              <w:right w:val="single" w:sz="4" w:space="0" w:color="auto"/>
            </w:tcBorders>
            <w:shd w:val="clear" w:color="auto" w:fill="808080"/>
            <w:vAlign w:val="center"/>
          </w:tcPr>
          <w:p w:rsidR="00000000" w:rsidRDefault="00D35856">
            <w:pPr>
              <w:keepNext w:val="0"/>
              <w:widowControl w:val="0"/>
              <w:spacing w:after="0"/>
              <w:jc w:val="center"/>
              <w:rPr>
                <w:rFonts w:ascii="Arial" w:hAnsi="Arial" w:cs="Arial"/>
                <w:b/>
                <w:sz w:val="20"/>
                <w:szCs w:val="20"/>
                <w:lang w:val="en-US"/>
              </w:rPr>
            </w:pPr>
            <w:r>
              <w:rPr>
                <w:rFonts w:ascii="Arial" w:hAnsi="Arial" w:cs="Arial"/>
                <w:b/>
                <w:sz w:val="20"/>
                <w:szCs w:val="20"/>
                <w:lang w:val="en-US"/>
              </w:rPr>
              <w:t>Unit Cost ($/kL)</w:t>
            </w:r>
          </w:p>
        </w:tc>
        <w:tc>
          <w:tcPr>
            <w:tcW w:w="1688" w:type="pct"/>
            <w:tcBorders>
              <w:top w:val="single" w:sz="4" w:space="0" w:color="auto"/>
              <w:left w:val="single" w:sz="4" w:space="0" w:color="auto"/>
              <w:bottom w:val="single" w:sz="4" w:space="0" w:color="auto"/>
              <w:right w:val="single" w:sz="4" w:space="0" w:color="auto"/>
            </w:tcBorders>
            <w:shd w:val="clear" w:color="auto" w:fill="808080"/>
            <w:vAlign w:val="center"/>
          </w:tcPr>
          <w:p w:rsidR="00000000" w:rsidRDefault="00D35856">
            <w:pPr>
              <w:keepNext w:val="0"/>
              <w:widowControl w:val="0"/>
              <w:spacing w:after="0"/>
              <w:jc w:val="center"/>
              <w:rPr>
                <w:rFonts w:ascii="Arial" w:hAnsi="Arial" w:cs="Arial"/>
                <w:b/>
                <w:sz w:val="20"/>
                <w:szCs w:val="20"/>
                <w:lang w:val="en-US"/>
              </w:rPr>
            </w:pPr>
            <w:r>
              <w:rPr>
                <w:rFonts w:ascii="Arial" w:hAnsi="Arial" w:cs="Arial"/>
                <w:b/>
                <w:sz w:val="20"/>
                <w:szCs w:val="20"/>
                <w:lang w:val="en-US"/>
              </w:rPr>
              <w:t>Unit Cost – upper estimate ($/kL)</w:t>
            </w:r>
          </w:p>
        </w:tc>
      </w:tr>
      <w:tr w:rsidR="00000000">
        <w:trPr>
          <w:trHeight w:val="260"/>
        </w:trPr>
        <w:tc>
          <w:tcPr>
            <w:tcW w:w="1501" w:type="pct"/>
            <w:tcBorders>
              <w:top w:val="single" w:sz="4" w:space="0" w:color="auto"/>
              <w:left w:val="single" w:sz="4" w:space="0" w:color="auto"/>
              <w:bottom w:val="single" w:sz="4" w:space="0" w:color="auto"/>
              <w:right w:val="single" w:sz="4" w:space="0" w:color="auto"/>
            </w:tcBorders>
            <w:noWrap/>
          </w:tcPr>
          <w:p w:rsidR="00000000" w:rsidRDefault="00D35856">
            <w:pPr>
              <w:spacing w:after="0"/>
              <w:jc w:val="center"/>
              <w:rPr>
                <w:rFonts w:ascii="Arial" w:hAnsi="Arial" w:cs="Arial"/>
              </w:rPr>
            </w:pPr>
            <w:r>
              <w:rPr>
                <w:rFonts w:ascii="Arial" w:hAnsi="Arial" w:cs="Arial"/>
              </w:rPr>
              <w:t>1.6%</w:t>
            </w:r>
          </w:p>
        </w:tc>
        <w:tc>
          <w:tcPr>
            <w:tcW w:w="1811" w:type="pct"/>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widowControl w:val="0"/>
              <w:spacing w:after="0"/>
              <w:jc w:val="center"/>
              <w:rPr>
                <w:rFonts w:ascii="Arial" w:hAnsi="Arial" w:cs="Arial"/>
                <w:sz w:val="20"/>
                <w:szCs w:val="20"/>
                <w:lang w:val="en-US"/>
              </w:rPr>
            </w:pPr>
            <w:r>
              <w:rPr>
                <w:rFonts w:ascii="Arial" w:hAnsi="Arial" w:cs="Arial"/>
                <w:sz w:val="20"/>
                <w:szCs w:val="20"/>
                <w:lang w:val="en-US"/>
              </w:rPr>
              <w:t>0.05</w:t>
            </w:r>
          </w:p>
        </w:tc>
        <w:tc>
          <w:tcPr>
            <w:tcW w:w="1688" w:type="pct"/>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widowControl w:val="0"/>
              <w:spacing w:after="0"/>
              <w:jc w:val="center"/>
              <w:rPr>
                <w:rFonts w:ascii="Arial" w:hAnsi="Arial" w:cs="Arial"/>
                <w:sz w:val="20"/>
                <w:szCs w:val="20"/>
                <w:lang w:val="en-US"/>
              </w:rPr>
            </w:pPr>
            <w:r>
              <w:rPr>
                <w:rFonts w:ascii="Arial" w:hAnsi="Arial" w:cs="Arial"/>
                <w:sz w:val="20"/>
                <w:szCs w:val="20"/>
                <w:lang w:val="en-US"/>
              </w:rPr>
              <w:t>0.12</w:t>
            </w:r>
          </w:p>
        </w:tc>
      </w:tr>
      <w:tr w:rsidR="00000000">
        <w:trPr>
          <w:trHeight w:val="260"/>
        </w:trPr>
        <w:tc>
          <w:tcPr>
            <w:tcW w:w="1501" w:type="pct"/>
            <w:tcBorders>
              <w:top w:val="single" w:sz="4" w:space="0" w:color="auto"/>
              <w:left w:val="single" w:sz="4" w:space="0" w:color="auto"/>
              <w:bottom w:val="single" w:sz="4" w:space="0" w:color="auto"/>
              <w:right w:val="single" w:sz="4" w:space="0" w:color="auto"/>
            </w:tcBorders>
            <w:noWrap/>
          </w:tcPr>
          <w:p w:rsidR="00000000" w:rsidRDefault="00D35856">
            <w:pPr>
              <w:spacing w:after="0"/>
              <w:jc w:val="center"/>
              <w:rPr>
                <w:rFonts w:ascii="Arial" w:hAnsi="Arial" w:cs="Arial"/>
              </w:rPr>
            </w:pPr>
            <w:r>
              <w:rPr>
                <w:rFonts w:ascii="Arial" w:hAnsi="Arial" w:cs="Arial"/>
              </w:rPr>
              <w:t>3.5%</w:t>
            </w:r>
          </w:p>
        </w:tc>
        <w:tc>
          <w:tcPr>
            <w:tcW w:w="1811" w:type="pct"/>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widowControl w:val="0"/>
              <w:spacing w:after="0"/>
              <w:jc w:val="center"/>
              <w:rPr>
                <w:rFonts w:ascii="Arial" w:hAnsi="Arial" w:cs="Arial"/>
                <w:sz w:val="20"/>
                <w:szCs w:val="20"/>
                <w:lang w:val="en-US"/>
              </w:rPr>
            </w:pPr>
            <w:r>
              <w:rPr>
                <w:rFonts w:ascii="Arial" w:hAnsi="Arial" w:cs="Arial"/>
                <w:sz w:val="20"/>
                <w:szCs w:val="20"/>
                <w:lang w:val="en-US"/>
              </w:rPr>
              <w:t>0.06</w:t>
            </w:r>
          </w:p>
        </w:tc>
        <w:tc>
          <w:tcPr>
            <w:tcW w:w="1688" w:type="pct"/>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widowControl w:val="0"/>
              <w:spacing w:after="0"/>
              <w:jc w:val="center"/>
              <w:rPr>
                <w:rFonts w:ascii="Arial" w:hAnsi="Arial" w:cs="Arial"/>
                <w:sz w:val="20"/>
                <w:szCs w:val="20"/>
                <w:lang w:val="en-US"/>
              </w:rPr>
            </w:pPr>
            <w:r>
              <w:rPr>
                <w:rFonts w:ascii="Arial" w:hAnsi="Arial" w:cs="Arial"/>
                <w:sz w:val="20"/>
                <w:szCs w:val="20"/>
                <w:lang w:val="en-US"/>
              </w:rPr>
              <w:t>0.13</w:t>
            </w:r>
          </w:p>
        </w:tc>
      </w:tr>
      <w:tr w:rsidR="00000000">
        <w:trPr>
          <w:trHeight w:val="260"/>
        </w:trPr>
        <w:tc>
          <w:tcPr>
            <w:tcW w:w="1501" w:type="pct"/>
            <w:tcBorders>
              <w:top w:val="single" w:sz="4" w:space="0" w:color="auto"/>
              <w:left w:val="single" w:sz="4" w:space="0" w:color="auto"/>
              <w:bottom w:val="single" w:sz="4" w:space="0" w:color="auto"/>
              <w:right w:val="single" w:sz="4" w:space="0" w:color="auto"/>
            </w:tcBorders>
            <w:noWrap/>
          </w:tcPr>
          <w:p w:rsidR="00000000" w:rsidRDefault="00D35856">
            <w:pPr>
              <w:spacing w:after="0"/>
              <w:jc w:val="center"/>
              <w:rPr>
                <w:rFonts w:ascii="Arial" w:hAnsi="Arial" w:cs="Arial"/>
              </w:rPr>
            </w:pPr>
            <w:r>
              <w:rPr>
                <w:rFonts w:ascii="Arial" w:hAnsi="Arial" w:cs="Arial"/>
              </w:rPr>
              <w:t>4%</w:t>
            </w:r>
          </w:p>
        </w:tc>
        <w:tc>
          <w:tcPr>
            <w:tcW w:w="1811" w:type="pct"/>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widowControl w:val="0"/>
              <w:spacing w:after="0"/>
              <w:jc w:val="center"/>
              <w:rPr>
                <w:rFonts w:ascii="Arial" w:hAnsi="Arial" w:cs="Arial"/>
                <w:sz w:val="20"/>
                <w:szCs w:val="20"/>
                <w:lang w:val="en-US"/>
              </w:rPr>
            </w:pPr>
            <w:r>
              <w:rPr>
                <w:rFonts w:ascii="Arial" w:hAnsi="Arial" w:cs="Arial"/>
                <w:sz w:val="20"/>
                <w:szCs w:val="20"/>
                <w:lang w:val="en-US"/>
              </w:rPr>
              <w:t>0.06</w:t>
            </w:r>
          </w:p>
        </w:tc>
        <w:tc>
          <w:tcPr>
            <w:tcW w:w="1688" w:type="pct"/>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widowControl w:val="0"/>
              <w:spacing w:after="0"/>
              <w:jc w:val="center"/>
              <w:rPr>
                <w:rFonts w:ascii="Arial" w:hAnsi="Arial" w:cs="Arial"/>
                <w:sz w:val="20"/>
                <w:szCs w:val="20"/>
                <w:lang w:val="en-US"/>
              </w:rPr>
            </w:pPr>
            <w:r>
              <w:rPr>
                <w:rFonts w:ascii="Arial" w:hAnsi="Arial" w:cs="Arial"/>
                <w:sz w:val="20"/>
                <w:szCs w:val="20"/>
                <w:lang w:val="en-US"/>
              </w:rPr>
              <w:t>0.14</w:t>
            </w:r>
          </w:p>
        </w:tc>
      </w:tr>
      <w:tr w:rsidR="00000000">
        <w:trPr>
          <w:trHeight w:val="260"/>
        </w:trPr>
        <w:tc>
          <w:tcPr>
            <w:tcW w:w="1501" w:type="pct"/>
            <w:tcBorders>
              <w:top w:val="single" w:sz="4" w:space="0" w:color="auto"/>
              <w:left w:val="single" w:sz="4" w:space="0" w:color="auto"/>
              <w:bottom w:val="single" w:sz="4" w:space="0" w:color="auto"/>
              <w:right w:val="single" w:sz="4" w:space="0" w:color="auto"/>
            </w:tcBorders>
            <w:noWrap/>
          </w:tcPr>
          <w:p w:rsidR="00000000" w:rsidRDefault="00D35856">
            <w:pPr>
              <w:spacing w:after="0"/>
              <w:jc w:val="center"/>
              <w:rPr>
                <w:rFonts w:ascii="Arial" w:hAnsi="Arial" w:cs="Arial"/>
              </w:rPr>
            </w:pPr>
            <w:r>
              <w:rPr>
                <w:rFonts w:ascii="Arial" w:hAnsi="Arial" w:cs="Arial"/>
              </w:rPr>
              <w:t>7%</w:t>
            </w:r>
          </w:p>
        </w:tc>
        <w:tc>
          <w:tcPr>
            <w:tcW w:w="1811" w:type="pct"/>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widowControl w:val="0"/>
              <w:spacing w:after="0"/>
              <w:jc w:val="center"/>
              <w:rPr>
                <w:rFonts w:ascii="Arial" w:hAnsi="Arial" w:cs="Arial"/>
                <w:sz w:val="20"/>
                <w:szCs w:val="20"/>
                <w:lang w:val="en-US"/>
              </w:rPr>
            </w:pPr>
            <w:r>
              <w:rPr>
                <w:rFonts w:ascii="Arial" w:hAnsi="Arial" w:cs="Arial"/>
                <w:sz w:val="20"/>
                <w:szCs w:val="20"/>
                <w:lang w:val="en-US"/>
              </w:rPr>
              <w:t>0.07</w:t>
            </w:r>
          </w:p>
        </w:tc>
        <w:tc>
          <w:tcPr>
            <w:tcW w:w="1688" w:type="pct"/>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widowControl w:val="0"/>
              <w:spacing w:after="0"/>
              <w:jc w:val="center"/>
              <w:rPr>
                <w:rFonts w:ascii="Arial" w:hAnsi="Arial" w:cs="Arial"/>
                <w:sz w:val="20"/>
                <w:szCs w:val="20"/>
                <w:lang w:val="en-US"/>
              </w:rPr>
            </w:pPr>
            <w:r>
              <w:rPr>
                <w:rFonts w:ascii="Arial" w:hAnsi="Arial" w:cs="Arial"/>
                <w:sz w:val="20"/>
                <w:szCs w:val="20"/>
                <w:lang w:val="en-US"/>
              </w:rPr>
              <w:t>0.17</w:t>
            </w:r>
          </w:p>
        </w:tc>
      </w:tr>
      <w:tr w:rsidR="00000000">
        <w:trPr>
          <w:trHeight w:val="260"/>
        </w:trPr>
        <w:tc>
          <w:tcPr>
            <w:tcW w:w="1501" w:type="pct"/>
            <w:tcBorders>
              <w:top w:val="single" w:sz="4" w:space="0" w:color="auto"/>
              <w:left w:val="single" w:sz="4" w:space="0" w:color="auto"/>
              <w:bottom w:val="single" w:sz="4" w:space="0" w:color="auto"/>
              <w:right w:val="single" w:sz="4" w:space="0" w:color="auto"/>
            </w:tcBorders>
            <w:noWrap/>
          </w:tcPr>
          <w:p w:rsidR="00000000" w:rsidRDefault="00D35856">
            <w:pPr>
              <w:spacing w:after="0"/>
              <w:jc w:val="center"/>
              <w:rPr>
                <w:rFonts w:ascii="Arial" w:hAnsi="Arial" w:cs="Arial"/>
              </w:rPr>
            </w:pPr>
            <w:r>
              <w:rPr>
                <w:rFonts w:ascii="Arial" w:hAnsi="Arial" w:cs="Arial"/>
              </w:rPr>
              <w:t>10%</w:t>
            </w:r>
          </w:p>
        </w:tc>
        <w:tc>
          <w:tcPr>
            <w:tcW w:w="1811" w:type="pct"/>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widowControl w:val="0"/>
              <w:spacing w:after="0"/>
              <w:jc w:val="center"/>
              <w:rPr>
                <w:rFonts w:ascii="Arial" w:hAnsi="Arial" w:cs="Arial"/>
                <w:sz w:val="20"/>
                <w:szCs w:val="20"/>
                <w:lang w:val="en-US"/>
              </w:rPr>
            </w:pPr>
            <w:r>
              <w:rPr>
                <w:rFonts w:ascii="Arial" w:hAnsi="Arial" w:cs="Arial"/>
                <w:sz w:val="20"/>
                <w:szCs w:val="20"/>
                <w:lang w:val="en-US"/>
              </w:rPr>
              <w:t>0.09</w:t>
            </w:r>
          </w:p>
        </w:tc>
        <w:tc>
          <w:tcPr>
            <w:tcW w:w="1688" w:type="pct"/>
            <w:tcBorders>
              <w:top w:val="single" w:sz="4" w:space="0" w:color="auto"/>
              <w:left w:val="single" w:sz="4" w:space="0" w:color="auto"/>
              <w:bottom w:val="single" w:sz="4" w:space="0" w:color="auto"/>
              <w:right w:val="single" w:sz="4" w:space="0" w:color="auto"/>
            </w:tcBorders>
            <w:noWrap/>
            <w:vAlign w:val="bottom"/>
          </w:tcPr>
          <w:p w:rsidR="00000000" w:rsidRDefault="00D35856">
            <w:pPr>
              <w:keepNext w:val="0"/>
              <w:widowControl w:val="0"/>
              <w:spacing w:after="0"/>
              <w:jc w:val="center"/>
              <w:rPr>
                <w:rFonts w:ascii="Arial" w:hAnsi="Arial" w:cs="Arial"/>
                <w:sz w:val="20"/>
                <w:szCs w:val="20"/>
                <w:lang w:val="en-US"/>
              </w:rPr>
            </w:pPr>
            <w:r>
              <w:rPr>
                <w:rFonts w:ascii="Arial" w:hAnsi="Arial" w:cs="Arial"/>
                <w:sz w:val="20"/>
                <w:szCs w:val="20"/>
                <w:lang w:val="en-US"/>
              </w:rPr>
              <w:t>0.20</w:t>
            </w:r>
          </w:p>
        </w:tc>
      </w:tr>
    </w:tbl>
    <w:p w:rsidR="00000000" w:rsidRDefault="00D35856">
      <w:pPr>
        <w:keepNext w:val="0"/>
        <w:widowControl w:val="0"/>
      </w:pPr>
    </w:p>
    <w:p w:rsidR="00000000" w:rsidRDefault="00D35856">
      <w:pPr>
        <w:keepNext w:val="0"/>
        <w:widowControl w:val="0"/>
      </w:pPr>
      <w:r>
        <w:t xml:space="preserve">Although this figure depends on different assumptions about discount rate, price premiums and water savings, </w:t>
      </w:r>
      <w:smartTag w:uri="urn:schemas-microsoft-com:office:smarttags" w:element="City">
        <w:r>
          <w:t>WELS</w:t>
        </w:r>
      </w:smartTag>
      <w:r>
        <w:t xml:space="preserve"> remains cost competitive compared to other water security options. </w:t>
      </w:r>
    </w:p>
    <w:p w:rsidR="00000000" w:rsidRDefault="00D35856">
      <w:pPr>
        <w:keepNext w:val="0"/>
        <w:widowControl w:val="0"/>
      </w:pPr>
      <w:r>
        <w:t>Varying the discount rate between 1.6% and 10%, and under differen</w:t>
      </w:r>
      <w:r>
        <w:t xml:space="preserve">t assumptions about costs, results in unit costs for </w:t>
      </w:r>
      <w:smartTag w:uri="urn:schemas-microsoft-com:office:smarttags" w:element="City">
        <w:r>
          <w:t>WELS</w:t>
        </w:r>
      </w:smartTag>
      <w:r>
        <w:t xml:space="preserve"> of between $0.05 and $0.20/kL. Previous analysis with different assumptions about costs and water savings demonstrate that the relative cost-effectiveness of </w:t>
      </w:r>
      <w:smartTag w:uri="urn:schemas-microsoft-com:office:smarttags" w:element="City">
        <w:r>
          <w:t>WELS</w:t>
        </w:r>
      </w:smartTag>
      <w:r>
        <w:t xml:space="preserve"> is preserved across</w:t>
      </w:r>
      <w:r>
        <w:t xml:space="preserve"> a range of assumptions. </w:t>
      </w:r>
    </w:p>
    <w:p w:rsidR="00000000" w:rsidRDefault="00D35856">
      <w:pPr>
        <w:keepNext w:val="0"/>
        <w:widowControl w:val="0"/>
      </w:pPr>
      <w:r>
        <w:t>The cost-effectiveness figure is sensitive to assumptions regarding likely price margins for more efficient products, but remains relatively cost-competitive across these</w:t>
      </w:r>
      <w:r>
        <w:t xml:space="preserve"> different assumptions. More efficient appliances may have a price margin over less efficient products, which may be in part offset by the presence of rebate programs. However these price margins are an extra cost to the consumer and should therefore be ac</w:t>
      </w:r>
      <w:r>
        <w:t xml:space="preserve">counted for in the assessment of the costs of </w:t>
      </w:r>
      <w:smartTag w:uri="urn:schemas-microsoft-com:office:smarttags" w:element="City">
        <w:r>
          <w:t>WELS</w:t>
        </w:r>
      </w:smartTag>
      <w:r>
        <w:t xml:space="preserve"> to society. </w:t>
      </w:r>
    </w:p>
    <w:p w:rsidR="00000000" w:rsidRDefault="00D35856">
      <w:pPr>
        <w:keepNext w:val="0"/>
        <w:widowControl w:val="0"/>
      </w:pPr>
      <w:r>
        <w:t>However, cost premiums due to more efficient products are not constant. In fact as  an increasing number of efficient appliances come onto the market and demand for these products incr</w:t>
      </w:r>
      <w:r>
        <w:t xml:space="preserve">eases, it is likely that the price margins will decrease. In this study, these market adjustments have been taken into account by assuming a margin of zero for more efficient products. This approach was also taken by White </w:t>
      </w:r>
      <w:r>
        <w:rPr>
          <w:i/>
        </w:rPr>
        <w:t xml:space="preserve">et al., </w:t>
      </w:r>
      <w:r>
        <w:t>(2006).</w:t>
      </w:r>
    </w:p>
    <w:p w:rsidR="00000000" w:rsidRDefault="00D35856">
      <w:pPr>
        <w:keepNext w:val="0"/>
        <w:widowControl w:val="0"/>
      </w:pPr>
      <w:r>
        <w:t>When price margin</w:t>
      </w:r>
      <w:r>
        <w:t xml:space="preserve">s factored into the cost calculations, the unit cost of </w:t>
      </w:r>
      <w:smartTag w:uri="urn:schemas-microsoft-com:office:smarttags" w:element="City">
        <w:r>
          <w:t>WELS</w:t>
        </w:r>
      </w:smartTag>
      <w:r>
        <w:t xml:space="preserve"> is still competitive compared with other water security options. In George Wilkenfeld and Associates (2004), the price premium formed the largest component of cost, in excess of labelling</w:t>
      </w:r>
      <w:r>
        <w:t xml:space="preserve"> costs and testing. In-house calculations used these figures in a calculation of unit cost and reported the cost-effectiveness of </w:t>
      </w:r>
      <w:smartTag w:uri="urn:schemas-microsoft-com:office:smarttags" w:element="City">
        <w:r>
          <w:t>WELS</w:t>
        </w:r>
      </w:smartTag>
      <w:r>
        <w:t xml:space="preserve"> to be $0.39/kL. </w:t>
      </w:r>
    </w:p>
    <w:p w:rsidR="00000000" w:rsidRDefault="00D35856">
      <w:pPr>
        <w:pStyle w:val="Heading2"/>
        <w:numPr>
          <w:ilvl w:val="1"/>
          <w:numId w:val="3"/>
        </w:numPr>
        <w:tabs>
          <w:tab w:val="clear" w:pos="1296"/>
        </w:tabs>
        <w:ind w:left="567" w:hanging="567"/>
        <w:rPr>
          <w:color w:val="auto"/>
        </w:rPr>
      </w:pPr>
      <w:bookmarkStart w:id="255" w:name="_Toc191452262"/>
      <w:bookmarkStart w:id="256" w:name="_Toc199933771"/>
      <w:r>
        <w:rPr>
          <w:color w:val="auto"/>
        </w:rPr>
        <w:lastRenderedPageBreak/>
        <w:t>Comparison of cost-effectiveness with other water security options</w:t>
      </w:r>
      <w:bookmarkEnd w:id="255"/>
      <w:bookmarkEnd w:id="256"/>
    </w:p>
    <w:p w:rsidR="00000000" w:rsidRDefault="00D35856">
      <w:pPr>
        <w:keepNext w:val="0"/>
        <w:widowControl w:val="0"/>
      </w:pPr>
      <w:r>
        <w:t xml:space="preserve">The relatively good cost-effectiveness of </w:t>
      </w:r>
      <w:smartTag w:uri="urn:schemas-microsoft-com:office:smarttags" w:element="City">
        <w:r>
          <w:t>WELS</w:t>
        </w:r>
      </w:smartTag>
      <w:r>
        <w:t xml:space="preserve"> in comparison to other options demonstrates that </w:t>
      </w:r>
      <w:smartTag w:uri="urn:schemas-microsoft-com:office:smarttags" w:element="City">
        <w:r>
          <w:t>WELS</w:t>
        </w:r>
      </w:smartTag>
      <w:r>
        <w:t xml:space="preserve"> is likely to be part of the package of options that form a least cost strategy for achieving water security in Austr</w:t>
      </w:r>
      <w:r>
        <w:t xml:space="preserve">alian jurisdictions. </w:t>
      </w:r>
    </w:p>
    <w:p w:rsidR="00000000" w:rsidRDefault="00D35856">
      <w:pPr>
        <w:keepNext w:val="0"/>
        <w:widowControl w:val="0"/>
      </w:pPr>
      <w:r>
        <w:t>In comparison to other water security options on the supply side, options range from $1.19-2.55/kL for cheaper desalination alternatives, up to $3.58/kL for surface water supply and $5.50/kL for the more expensive recycling options. B</w:t>
      </w:r>
      <w:r>
        <w:t xml:space="preserve">y comparison, demand options are generally cheaper at approximately $0.10/kL for outdoor water efficiency and $0.50- 0.60/kL for rebates and home </w:t>
      </w:r>
      <w:r>
        <w:rPr>
          <w:color w:val="000000"/>
        </w:rPr>
        <w:t xml:space="preserve">retrofits. In this study, the relative cost-effectiveness of </w:t>
      </w:r>
      <w:smartTag w:uri="urn:schemas-microsoft-com:office:smarttags" w:element="City">
        <w:r>
          <w:rPr>
            <w:color w:val="000000"/>
          </w:rPr>
          <w:t>WELS</w:t>
        </w:r>
      </w:smartTag>
      <w:r>
        <w:rPr>
          <w:color w:val="000000"/>
        </w:rPr>
        <w:t xml:space="preserve"> compared to increases in water price</w:t>
      </w:r>
      <w:r>
        <w:rPr>
          <w:color w:val="000000"/>
        </w:rPr>
        <w:t xml:space="preserve">s has not been modelled. However, mandatory labelling could (at least theoretically) help enable water users to respond to water price increases (see </w:t>
      </w:r>
      <w:smartTag w:uri="urn:schemas-microsoft-com:office:smarttags" w:element="City">
        <w:r>
          <w:rPr>
            <w:color w:val="000000"/>
          </w:rPr>
          <w:t>box</w:t>
        </w:r>
      </w:smartTag>
      <w:r>
        <w:rPr>
          <w:color w:val="000000"/>
        </w:rPr>
        <w:t xml:space="preserve"> </w:t>
      </w:r>
      <w:r>
        <w:rPr>
          <w:color w:val="000000"/>
        </w:rPr>
        <w:fldChar w:fldCharType="begin"/>
      </w:r>
      <w:r>
        <w:rPr>
          <w:color w:val="000000"/>
        </w:rPr>
        <w:instrText xml:space="preserve"> STYLEREF 1 \s </w:instrText>
      </w:r>
      <w:r>
        <w:rPr>
          <w:color w:val="000000"/>
        </w:rPr>
        <w:fldChar w:fldCharType="separate"/>
      </w:r>
      <w:r>
        <w:rPr>
          <w:noProof/>
          <w:color w:val="000000"/>
        </w:rPr>
        <w:t>5</w:t>
      </w:r>
      <w:r>
        <w:rPr>
          <w:color w:val="000000"/>
        </w:rPr>
        <w:fldChar w:fldCharType="end"/>
      </w:r>
      <w:r>
        <w:rPr>
          <w:color w:val="000000"/>
        </w:rPr>
        <w:noBreakHyphen/>
      </w:r>
      <w:r>
        <w:rPr>
          <w:color w:val="000000"/>
        </w:rPr>
        <w:fldChar w:fldCharType="begin"/>
      </w:r>
      <w:r>
        <w:rPr>
          <w:color w:val="000000"/>
        </w:rPr>
        <w:instrText xml:space="preserve"> SEQ Box \* ARABIC \s 1 </w:instrText>
      </w:r>
      <w:r>
        <w:rPr>
          <w:color w:val="000000"/>
        </w:rPr>
        <w:fldChar w:fldCharType="separate"/>
      </w:r>
      <w:r>
        <w:rPr>
          <w:noProof/>
          <w:color w:val="000000"/>
        </w:rPr>
        <w:t>1</w:t>
      </w:r>
      <w:r>
        <w:rPr>
          <w:color w:val="000000"/>
        </w:rPr>
        <w:fldChar w:fldCharType="end"/>
      </w:r>
      <w:r>
        <w:rPr>
          <w:color w:val="000000"/>
        </w:rPr>
        <w:t>).</w:t>
      </w:r>
    </w:p>
    <w:tbl>
      <w:tblPr>
        <w:tblStyle w:val="TableGrid"/>
        <w:tblW w:w="0" w:type="auto"/>
        <w:tblLook w:val="01E0"/>
      </w:tblPr>
      <w:tblGrid>
        <w:gridCol w:w="4258"/>
        <w:gridCol w:w="9"/>
        <w:gridCol w:w="4249"/>
      </w:tblGrid>
      <w:tr w:rsidR="00000000">
        <w:tc>
          <w:tcPr>
            <w:tcW w:w="4267" w:type="dxa"/>
            <w:gridSpan w:val="2"/>
            <w:shd w:val="clear" w:color="auto" w:fill="606060"/>
            <w:vAlign w:val="center"/>
          </w:tcPr>
          <w:p w:rsidR="00000000" w:rsidRDefault="00D35856">
            <w:pPr>
              <w:pStyle w:val="BodyText"/>
              <w:keepNext w:val="0"/>
              <w:widowControl w:val="0"/>
              <w:spacing w:before="20" w:after="20"/>
              <w:jc w:val="center"/>
              <w:rPr>
                <w:b/>
                <w:sz w:val="20"/>
                <w:szCs w:val="22"/>
              </w:rPr>
            </w:pPr>
            <w:r>
              <w:rPr>
                <w:rFonts w:ascii="Arial" w:hAnsi="Arial"/>
                <w:b/>
                <w:sz w:val="20"/>
              </w:rPr>
              <w:t>Options</w:t>
            </w:r>
          </w:p>
        </w:tc>
        <w:tc>
          <w:tcPr>
            <w:tcW w:w="4249" w:type="dxa"/>
            <w:shd w:val="clear" w:color="auto" w:fill="606060"/>
            <w:vAlign w:val="center"/>
          </w:tcPr>
          <w:p w:rsidR="00000000" w:rsidRDefault="00D35856">
            <w:pPr>
              <w:pStyle w:val="BodyText"/>
              <w:keepNext w:val="0"/>
              <w:widowControl w:val="0"/>
              <w:spacing w:before="20" w:after="20"/>
              <w:jc w:val="center"/>
              <w:rPr>
                <w:b/>
                <w:sz w:val="20"/>
                <w:szCs w:val="22"/>
              </w:rPr>
            </w:pPr>
            <w:r>
              <w:rPr>
                <w:rFonts w:ascii="Arial" w:hAnsi="Arial"/>
                <w:b/>
                <w:sz w:val="20"/>
              </w:rPr>
              <w:t>Approx. levelised unit cost ($/kL)</w:t>
            </w:r>
          </w:p>
        </w:tc>
      </w:tr>
      <w:tr w:rsidR="00000000">
        <w:tc>
          <w:tcPr>
            <w:tcW w:w="8516" w:type="dxa"/>
            <w:gridSpan w:val="3"/>
            <w:vAlign w:val="center"/>
          </w:tcPr>
          <w:p w:rsidR="00000000" w:rsidRDefault="00D35856">
            <w:pPr>
              <w:pStyle w:val="BodyText"/>
              <w:keepNext w:val="0"/>
              <w:widowControl w:val="0"/>
              <w:spacing w:before="20" w:after="20"/>
              <w:rPr>
                <w:i/>
                <w:sz w:val="20"/>
              </w:rPr>
            </w:pPr>
            <w:r>
              <w:rPr>
                <w:rFonts w:ascii="Arial" w:hAnsi="Arial"/>
                <w:i/>
                <w:sz w:val="20"/>
              </w:rPr>
              <w:t>Dem</w:t>
            </w:r>
            <w:r>
              <w:rPr>
                <w:rFonts w:ascii="Arial" w:hAnsi="Arial"/>
                <w:i/>
                <w:sz w:val="20"/>
              </w:rPr>
              <w:t>and Reduction Options</w:t>
            </w:r>
          </w:p>
        </w:tc>
      </w:tr>
      <w:tr w:rsidR="00000000">
        <w:tc>
          <w:tcPr>
            <w:tcW w:w="4267" w:type="dxa"/>
            <w:gridSpan w:val="2"/>
            <w:vAlign w:val="center"/>
          </w:tcPr>
          <w:p w:rsidR="00000000" w:rsidRDefault="00D35856">
            <w:pPr>
              <w:pStyle w:val="BodyText"/>
              <w:keepNext w:val="0"/>
              <w:widowControl w:val="0"/>
              <w:spacing w:before="20" w:after="20"/>
              <w:rPr>
                <w:sz w:val="20"/>
                <w:szCs w:val="22"/>
              </w:rPr>
            </w:pPr>
            <w:r>
              <w:rPr>
                <w:rFonts w:ascii="Arial" w:hAnsi="Arial"/>
                <w:sz w:val="20"/>
                <w:szCs w:val="22"/>
              </w:rPr>
              <w:t xml:space="preserve">Outdoor water efficiency </w:t>
            </w:r>
            <w:r>
              <w:rPr>
                <w:rFonts w:ascii="Arial" w:hAnsi="Arial"/>
                <w:sz w:val="20"/>
                <w:szCs w:val="22"/>
                <w:vertAlign w:val="superscript"/>
              </w:rPr>
              <w:t>a</w:t>
            </w:r>
          </w:p>
        </w:tc>
        <w:tc>
          <w:tcPr>
            <w:tcW w:w="4249" w:type="dxa"/>
            <w:vAlign w:val="center"/>
          </w:tcPr>
          <w:p w:rsidR="00000000" w:rsidRDefault="00D35856">
            <w:pPr>
              <w:pStyle w:val="BodyText"/>
              <w:keepNext w:val="0"/>
              <w:widowControl w:val="0"/>
              <w:spacing w:before="20" w:after="20"/>
              <w:jc w:val="center"/>
              <w:rPr>
                <w:sz w:val="20"/>
                <w:szCs w:val="22"/>
              </w:rPr>
            </w:pPr>
            <w:r>
              <w:rPr>
                <w:rFonts w:ascii="Arial" w:hAnsi="Arial"/>
                <w:sz w:val="20"/>
              </w:rPr>
              <w:t>$0.10 – $0.20</w:t>
            </w:r>
          </w:p>
        </w:tc>
      </w:tr>
      <w:tr w:rsidR="00000000">
        <w:tc>
          <w:tcPr>
            <w:tcW w:w="4267" w:type="dxa"/>
            <w:gridSpan w:val="2"/>
            <w:vAlign w:val="center"/>
          </w:tcPr>
          <w:p w:rsidR="00000000" w:rsidRDefault="00D35856">
            <w:pPr>
              <w:pStyle w:val="BodyText"/>
              <w:keepNext w:val="0"/>
              <w:widowControl w:val="0"/>
              <w:spacing w:before="20" w:after="20"/>
              <w:rPr>
                <w:sz w:val="20"/>
                <w:szCs w:val="22"/>
              </w:rPr>
            </w:pPr>
            <w:r>
              <w:rPr>
                <w:rFonts w:ascii="Arial" w:hAnsi="Arial"/>
                <w:sz w:val="20"/>
                <w:szCs w:val="22"/>
              </w:rPr>
              <w:t xml:space="preserve">Indoor water efficiency (shower head exchanges, rebates, and retrofits) </w:t>
            </w:r>
            <w:r>
              <w:rPr>
                <w:rFonts w:ascii="Arial" w:hAnsi="Arial"/>
                <w:sz w:val="20"/>
                <w:szCs w:val="22"/>
                <w:vertAlign w:val="superscript"/>
              </w:rPr>
              <w:t>a</w:t>
            </w:r>
          </w:p>
        </w:tc>
        <w:tc>
          <w:tcPr>
            <w:tcW w:w="4249" w:type="dxa"/>
            <w:vAlign w:val="center"/>
          </w:tcPr>
          <w:p w:rsidR="00000000" w:rsidRDefault="00D35856">
            <w:pPr>
              <w:pStyle w:val="BodyText"/>
              <w:keepNext w:val="0"/>
              <w:widowControl w:val="0"/>
              <w:spacing w:before="20" w:after="20"/>
              <w:jc w:val="center"/>
              <w:rPr>
                <w:sz w:val="20"/>
                <w:szCs w:val="22"/>
              </w:rPr>
            </w:pPr>
            <w:r>
              <w:rPr>
                <w:rFonts w:ascii="Arial" w:hAnsi="Arial"/>
                <w:sz w:val="20"/>
              </w:rPr>
              <w:t>$0.50 – $0.60</w:t>
            </w:r>
          </w:p>
        </w:tc>
      </w:tr>
      <w:tr w:rsidR="00000000">
        <w:tc>
          <w:tcPr>
            <w:tcW w:w="4258" w:type="dxa"/>
            <w:vAlign w:val="center"/>
          </w:tcPr>
          <w:p w:rsidR="00000000" w:rsidRDefault="00D35856">
            <w:pPr>
              <w:pStyle w:val="BodyText"/>
              <w:keepNext w:val="0"/>
              <w:widowControl w:val="0"/>
              <w:spacing w:before="20" w:after="20"/>
              <w:rPr>
                <w:rFonts w:ascii="Arial" w:hAnsi="Arial"/>
                <w:sz w:val="20"/>
                <w:szCs w:val="22"/>
                <w:vertAlign w:val="superscript"/>
              </w:rPr>
            </w:pPr>
            <w:r>
              <w:rPr>
                <w:rFonts w:ascii="Arial" w:hAnsi="Arial"/>
                <w:sz w:val="20"/>
                <w:szCs w:val="22"/>
              </w:rPr>
              <w:t>Building regulations (5 Star in Victoria, BASIX NSW)</w:t>
            </w:r>
            <w:r>
              <w:rPr>
                <w:rFonts w:ascii="Arial" w:hAnsi="Arial"/>
                <w:sz w:val="20"/>
                <w:szCs w:val="22"/>
                <w:vertAlign w:val="superscript"/>
              </w:rPr>
              <w:t>e</w:t>
            </w:r>
          </w:p>
        </w:tc>
        <w:tc>
          <w:tcPr>
            <w:tcW w:w="4258" w:type="dxa"/>
            <w:gridSpan w:val="2"/>
            <w:vAlign w:val="center"/>
          </w:tcPr>
          <w:p w:rsidR="00000000" w:rsidRDefault="00D35856">
            <w:pPr>
              <w:pStyle w:val="BodyText"/>
              <w:keepNext w:val="0"/>
              <w:widowControl w:val="0"/>
              <w:spacing w:before="20" w:after="20"/>
              <w:jc w:val="center"/>
              <w:rPr>
                <w:rFonts w:ascii="Arial" w:hAnsi="Arial"/>
                <w:sz w:val="20"/>
                <w:szCs w:val="22"/>
              </w:rPr>
            </w:pPr>
            <w:r>
              <w:rPr>
                <w:rFonts w:ascii="Arial" w:hAnsi="Arial"/>
                <w:sz w:val="20"/>
                <w:szCs w:val="22"/>
              </w:rPr>
              <w:t>$0.30 – $4.00</w:t>
            </w:r>
          </w:p>
        </w:tc>
      </w:tr>
      <w:tr w:rsidR="00000000">
        <w:tc>
          <w:tcPr>
            <w:tcW w:w="8516" w:type="dxa"/>
            <w:gridSpan w:val="3"/>
            <w:vAlign w:val="center"/>
          </w:tcPr>
          <w:p w:rsidR="00000000" w:rsidRDefault="00D35856">
            <w:pPr>
              <w:pStyle w:val="BodyText"/>
              <w:keepNext w:val="0"/>
              <w:widowControl w:val="0"/>
              <w:spacing w:before="20" w:after="20"/>
              <w:rPr>
                <w:i/>
                <w:sz w:val="20"/>
                <w:szCs w:val="22"/>
              </w:rPr>
            </w:pPr>
            <w:r>
              <w:rPr>
                <w:rFonts w:ascii="Arial" w:hAnsi="Arial"/>
                <w:i/>
                <w:sz w:val="20"/>
                <w:szCs w:val="22"/>
              </w:rPr>
              <w:t>Supply Augmentation Options</w:t>
            </w:r>
          </w:p>
        </w:tc>
      </w:tr>
      <w:tr w:rsidR="00000000">
        <w:tc>
          <w:tcPr>
            <w:tcW w:w="4267" w:type="dxa"/>
            <w:gridSpan w:val="2"/>
            <w:vAlign w:val="center"/>
          </w:tcPr>
          <w:p w:rsidR="00000000" w:rsidRDefault="00D35856">
            <w:pPr>
              <w:pStyle w:val="BodyText"/>
              <w:keepNext w:val="0"/>
              <w:widowControl w:val="0"/>
              <w:spacing w:before="20" w:after="20"/>
              <w:rPr>
                <w:sz w:val="20"/>
                <w:szCs w:val="22"/>
              </w:rPr>
            </w:pPr>
            <w:r>
              <w:rPr>
                <w:rFonts w:ascii="Arial" w:hAnsi="Arial"/>
                <w:sz w:val="20"/>
                <w:szCs w:val="22"/>
              </w:rPr>
              <w:t xml:space="preserve">Desalination </w:t>
            </w:r>
            <w:r>
              <w:rPr>
                <w:rFonts w:ascii="Arial" w:hAnsi="Arial"/>
                <w:sz w:val="20"/>
                <w:szCs w:val="22"/>
                <w:vertAlign w:val="superscript"/>
              </w:rPr>
              <w:t>c</w:t>
            </w:r>
          </w:p>
        </w:tc>
        <w:tc>
          <w:tcPr>
            <w:tcW w:w="4249" w:type="dxa"/>
            <w:vAlign w:val="center"/>
          </w:tcPr>
          <w:p w:rsidR="00000000" w:rsidRDefault="00D35856">
            <w:pPr>
              <w:pStyle w:val="BodyText"/>
              <w:keepNext w:val="0"/>
              <w:widowControl w:val="0"/>
              <w:spacing w:before="20" w:after="20"/>
              <w:jc w:val="center"/>
              <w:rPr>
                <w:sz w:val="20"/>
                <w:szCs w:val="22"/>
              </w:rPr>
            </w:pPr>
            <w:r>
              <w:rPr>
                <w:rFonts w:ascii="Arial" w:hAnsi="Arial"/>
                <w:sz w:val="20"/>
                <w:szCs w:val="22"/>
              </w:rPr>
              <w:t>$1.19 – $2.55</w:t>
            </w:r>
          </w:p>
        </w:tc>
      </w:tr>
      <w:tr w:rsidR="00000000">
        <w:tc>
          <w:tcPr>
            <w:tcW w:w="4267" w:type="dxa"/>
            <w:gridSpan w:val="2"/>
            <w:vAlign w:val="center"/>
          </w:tcPr>
          <w:p w:rsidR="00000000" w:rsidRDefault="00D35856">
            <w:pPr>
              <w:pStyle w:val="BodyText"/>
              <w:keepNext w:val="0"/>
              <w:widowControl w:val="0"/>
              <w:spacing w:before="20" w:after="20"/>
              <w:rPr>
                <w:sz w:val="20"/>
                <w:szCs w:val="22"/>
              </w:rPr>
            </w:pPr>
            <w:r>
              <w:rPr>
                <w:rFonts w:ascii="Arial" w:hAnsi="Arial"/>
                <w:sz w:val="20"/>
                <w:szCs w:val="22"/>
              </w:rPr>
              <w:t xml:space="preserve">New storage </w:t>
            </w:r>
            <w:r>
              <w:rPr>
                <w:rFonts w:ascii="Arial" w:hAnsi="Arial"/>
                <w:sz w:val="20"/>
                <w:szCs w:val="22"/>
                <w:vertAlign w:val="superscript"/>
              </w:rPr>
              <w:t>b</w:t>
            </w:r>
          </w:p>
        </w:tc>
        <w:tc>
          <w:tcPr>
            <w:tcW w:w="4249" w:type="dxa"/>
            <w:vAlign w:val="center"/>
          </w:tcPr>
          <w:p w:rsidR="00000000" w:rsidRDefault="00D35856">
            <w:pPr>
              <w:pStyle w:val="BodyText"/>
              <w:keepNext w:val="0"/>
              <w:widowControl w:val="0"/>
              <w:spacing w:before="20" w:after="20"/>
              <w:jc w:val="center"/>
              <w:rPr>
                <w:sz w:val="20"/>
                <w:szCs w:val="22"/>
              </w:rPr>
            </w:pPr>
            <w:r>
              <w:rPr>
                <w:rFonts w:ascii="Arial" w:hAnsi="Arial"/>
                <w:sz w:val="20"/>
                <w:szCs w:val="22"/>
              </w:rPr>
              <w:t>$1.26 – $3.58</w:t>
            </w:r>
          </w:p>
        </w:tc>
      </w:tr>
      <w:tr w:rsidR="00000000">
        <w:tc>
          <w:tcPr>
            <w:tcW w:w="4267" w:type="dxa"/>
            <w:gridSpan w:val="2"/>
            <w:vAlign w:val="center"/>
          </w:tcPr>
          <w:p w:rsidR="00000000" w:rsidRDefault="00D35856">
            <w:pPr>
              <w:pStyle w:val="BodyText"/>
              <w:keepNext w:val="0"/>
              <w:widowControl w:val="0"/>
              <w:spacing w:before="20" w:after="20"/>
              <w:rPr>
                <w:sz w:val="20"/>
                <w:szCs w:val="22"/>
              </w:rPr>
            </w:pPr>
            <w:r>
              <w:rPr>
                <w:rFonts w:ascii="Arial" w:hAnsi="Arial"/>
                <w:sz w:val="20"/>
              </w:rPr>
              <w:t>New recycling schemes in</w:t>
            </w:r>
            <w:r>
              <w:rPr>
                <w:rFonts w:ascii="Arial" w:hAnsi="Arial"/>
                <w:sz w:val="20"/>
                <w:szCs w:val="22"/>
                <w:vertAlign w:val="superscript"/>
              </w:rPr>
              <w:t xml:space="preserve"> </w:t>
            </w:r>
            <w:smartTag w:uri="urn:schemas-microsoft-com:office:smarttags" w:element="City">
              <w:r>
                <w:rPr>
                  <w:rFonts w:ascii="Arial" w:hAnsi="Arial"/>
                  <w:sz w:val="20"/>
                </w:rPr>
                <w:t>Sydney</w:t>
              </w:r>
            </w:smartTag>
            <w:r>
              <w:rPr>
                <w:rFonts w:ascii="Arial" w:hAnsi="Arial"/>
                <w:sz w:val="20"/>
              </w:rPr>
              <w:t xml:space="preserve"> </w:t>
            </w:r>
            <w:r>
              <w:rPr>
                <w:rFonts w:ascii="Arial" w:hAnsi="Arial"/>
                <w:sz w:val="20"/>
                <w:szCs w:val="22"/>
                <w:vertAlign w:val="superscript"/>
              </w:rPr>
              <w:t xml:space="preserve"> d</w:t>
            </w:r>
          </w:p>
        </w:tc>
        <w:tc>
          <w:tcPr>
            <w:tcW w:w="4249" w:type="dxa"/>
            <w:vAlign w:val="center"/>
          </w:tcPr>
          <w:p w:rsidR="00000000" w:rsidRDefault="00D35856">
            <w:pPr>
              <w:pStyle w:val="BodyText"/>
              <w:keepNext w:val="0"/>
              <w:widowControl w:val="0"/>
              <w:spacing w:before="20" w:after="20"/>
              <w:jc w:val="center"/>
              <w:rPr>
                <w:sz w:val="20"/>
                <w:szCs w:val="22"/>
              </w:rPr>
            </w:pPr>
            <w:r>
              <w:rPr>
                <w:rFonts w:ascii="Arial" w:hAnsi="Arial"/>
                <w:sz w:val="20"/>
              </w:rPr>
              <w:t>$1.00 – $5.50</w:t>
            </w:r>
          </w:p>
        </w:tc>
      </w:tr>
      <w:tr w:rsidR="00000000">
        <w:tc>
          <w:tcPr>
            <w:tcW w:w="4267" w:type="dxa"/>
            <w:gridSpan w:val="2"/>
            <w:vAlign w:val="center"/>
          </w:tcPr>
          <w:p w:rsidR="00000000" w:rsidRDefault="00D35856">
            <w:pPr>
              <w:pStyle w:val="BodyText"/>
              <w:keepNext w:val="0"/>
              <w:widowControl w:val="0"/>
              <w:spacing w:before="20" w:after="20"/>
              <w:rPr>
                <w:sz w:val="20"/>
                <w:szCs w:val="22"/>
              </w:rPr>
            </w:pPr>
            <w:r>
              <w:rPr>
                <w:rFonts w:ascii="Arial" w:hAnsi="Arial"/>
                <w:sz w:val="20"/>
                <w:szCs w:val="22"/>
              </w:rPr>
              <w:t>Residential Raintank</w:t>
            </w:r>
            <w:r>
              <w:rPr>
                <w:rFonts w:ascii="Arial" w:hAnsi="Arial"/>
                <w:sz w:val="20"/>
                <w:szCs w:val="22"/>
                <w:vertAlign w:val="superscript"/>
              </w:rPr>
              <w:t xml:space="preserve"> a, b</w:t>
            </w:r>
          </w:p>
        </w:tc>
        <w:tc>
          <w:tcPr>
            <w:tcW w:w="4249" w:type="dxa"/>
            <w:vAlign w:val="center"/>
          </w:tcPr>
          <w:p w:rsidR="00000000" w:rsidRDefault="00D35856">
            <w:pPr>
              <w:pStyle w:val="BodyText"/>
              <w:keepNext w:val="0"/>
              <w:widowControl w:val="0"/>
              <w:spacing w:before="20" w:after="20"/>
              <w:jc w:val="center"/>
              <w:rPr>
                <w:sz w:val="20"/>
                <w:szCs w:val="22"/>
              </w:rPr>
            </w:pPr>
            <w:r>
              <w:rPr>
                <w:rFonts w:ascii="Arial" w:hAnsi="Arial"/>
                <w:sz w:val="20"/>
                <w:szCs w:val="22"/>
              </w:rPr>
              <w:t>$3.00 - $4.00</w:t>
            </w:r>
          </w:p>
        </w:tc>
      </w:tr>
    </w:tbl>
    <w:p w:rsidR="00000000" w:rsidRDefault="00D35856">
      <w:pPr>
        <w:keepNext w:val="0"/>
        <w:widowControl w:val="0"/>
        <w:autoSpaceDE w:val="0"/>
        <w:autoSpaceDN w:val="0"/>
        <w:adjustRightInd w:val="0"/>
        <w:spacing w:after="0"/>
        <w:rPr>
          <w:sz w:val="18"/>
          <w:szCs w:val="18"/>
        </w:rPr>
      </w:pPr>
      <w:r>
        <w:rPr>
          <w:sz w:val="18"/>
          <w:szCs w:val="18"/>
        </w:rPr>
        <w:t xml:space="preserve">a Estimate from Review of the Metropolitan Water Plan (White </w:t>
      </w:r>
      <w:r>
        <w:rPr>
          <w:i/>
          <w:sz w:val="18"/>
          <w:szCs w:val="18"/>
        </w:rPr>
        <w:t>et al.</w:t>
      </w:r>
      <w:r>
        <w:rPr>
          <w:sz w:val="18"/>
          <w:szCs w:val="18"/>
        </w:rPr>
        <w:t>, 2006).</w:t>
      </w:r>
    </w:p>
    <w:p w:rsidR="00000000" w:rsidRDefault="00D35856">
      <w:pPr>
        <w:keepNext w:val="0"/>
        <w:widowControl w:val="0"/>
        <w:autoSpaceDE w:val="0"/>
        <w:autoSpaceDN w:val="0"/>
        <w:adjustRightInd w:val="0"/>
        <w:spacing w:after="0"/>
        <w:rPr>
          <w:sz w:val="18"/>
          <w:szCs w:val="18"/>
        </w:rPr>
      </w:pPr>
      <w:r>
        <w:rPr>
          <w:sz w:val="18"/>
          <w:szCs w:val="18"/>
        </w:rPr>
        <w:t xml:space="preserve">b Estimate from Review of Water Supply-Demand Options for South </w:t>
      </w:r>
      <w:smartTag w:uri="urn:schemas-microsoft-com:office:smarttags" w:element="City">
        <w:r>
          <w:rPr>
            <w:sz w:val="18"/>
            <w:szCs w:val="18"/>
          </w:rPr>
          <w:t>East Queensland</w:t>
        </w:r>
      </w:smartTag>
      <w:r>
        <w:rPr>
          <w:sz w:val="18"/>
          <w:szCs w:val="18"/>
        </w:rPr>
        <w:t xml:space="preserve"> (</w:t>
      </w:r>
      <w:r>
        <w:rPr>
          <w:i/>
          <w:sz w:val="18"/>
          <w:szCs w:val="18"/>
        </w:rPr>
        <w:t>Turner et al.</w:t>
      </w:r>
      <w:r>
        <w:rPr>
          <w:sz w:val="18"/>
          <w:szCs w:val="18"/>
        </w:rPr>
        <w:t>, 2007).</w:t>
      </w:r>
    </w:p>
    <w:p w:rsidR="00000000" w:rsidRDefault="00D35856">
      <w:pPr>
        <w:keepNext w:val="0"/>
        <w:widowControl w:val="0"/>
        <w:autoSpaceDE w:val="0"/>
        <w:autoSpaceDN w:val="0"/>
        <w:adjustRightInd w:val="0"/>
        <w:spacing w:after="0"/>
        <w:rPr>
          <w:sz w:val="18"/>
          <w:szCs w:val="18"/>
        </w:rPr>
      </w:pPr>
      <w:r>
        <w:rPr>
          <w:sz w:val="18"/>
          <w:szCs w:val="18"/>
        </w:rPr>
        <w:t xml:space="preserve">c Minimum from </w:t>
      </w:r>
      <w:hyperlink r:id="rId54" w:history="1">
        <w:r>
          <w:rPr>
            <w:sz w:val="18"/>
            <w:szCs w:val="18"/>
          </w:rPr>
          <w:t>WA</w:t>
        </w:r>
      </w:hyperlink>
      <w:r>
        <w:rPr>
          <w:sz w:val="18"/>
          <w:szCs w:val="18"/>
        </w:rPr>
        <w:t xml:space="preserve"> Water Corporation desalination media release (The Perth Seawater Desalination Plant, April 2005) and maximum from Review of Water Supply-Demand Options for South East Queensland (Turner </w:t>
      </w:r>
      <w:r>
        <w:rPr>
          <w:i/>
          <w:sz w:val="18"/>
          <w:szCs w:val="18"/>
        </w:rPr>
        <w:t xml:space="preserve">et al., </w:t>
      </w:r>
      <w:r>
        <w:rPr>
          <w:sz w:val="18"/>
          <w:szCs w:val="18"/>
        </w:rPr>
        <w:t>2007).</w:t>
      </w:r>
    </w:p>
    <w:p w:rsidR="00000000" w:rsidRDefault="00D35856">
      <w:pPr>
        <w:keepNext w:val="0"/>
        <w:widowControl w:val="0"/>
        <w:autoSpaceDE w:val="0"/>
        <w:autoSpaceDN w:val="0"/>
        <w:adjustRightInd w:val="0"/>
        <w:spacing w:after="0"/>
        <w:rPr>
          <w:sz w:val="18"/>
          <w:szCs w:val="18"/>
        </w:rPr>
      </w:pPr>
      <w:r>
        <w:rPr>
          <w:sz w:val="18"/>
          <w:szCs w:val="18"/>
        </w:rPr>
        <w:t>d Committed and approved recyc</w:t>
      </w:r>
      <w:r>
        <w:rPr>
          <w:sz w:val="18"/>
          <w:szCs w:val="18"/>
        </w:rPr>
        <w:t xml:space="preserve">ling schemes in the review of the Sydney Metropolitan Water Plan (White  </w:t>
      </w:r>
      <w:r>
        <w:rPr>
          <w:i/>
          <w:sz w:val="18"/>
          <w:szCs w:val="18"/>
        </w:rPr>
        <w:t>et al.</w:t>
      </w:r>
      <w:r>
        <w:rPr>
          <w:sz w:val="18"/>
          <w:szCs w:val="18"/>
        </w:rPr>
        <w:t xml:space="preserve"> 2006).</w:t>
      </w:r>
    </w:p>
    <w:p w:rsidR="00000000" w:rsidRDefault="00D35856">
      <w:pPr>
        <w:keepNext w:val="0"/>
        <w:widowControl w:val="0"/>
        <w:spacing w:after="0"/>
        <w:rPr>
          <w:sz w:val="18"/>
          <w:szCs w:val="18"/>
        </w:rPr>
      </w:pPr>
      <w:r>
        <w:rPr>
          <w:sz w:val="18"/>
          <w:szCs w:val="18"/>
        </w:rPr>
        <w:t xml:space="preserve">e BASIX from (White </w:t>
      </w:r>
      <w:r>
        <w:rPr>
          <w:i/>
          <w:sz w:val="18"/>
          <w:szCs w:val="18"/>
        </w:rPr>
        <w:t xml:space="preserve">et al., </w:t>
      </w:r>
      <w:r>
        <w:rPr>
          <w:sz w:val="18"/>
          <w:szCs w:val="18"/>
        </w:rPr>
        <w:t>2006) and 5 Star from in-house calculations</w:t>
      </w:r>
    </w:p>
    <w:p w:rsidR="00000000" w:rsidRDefault="00D35856">
      <w:pPr>
        <w:keepNext w:val="0"/>
        <w:widowControl w:val="0"/>
      </w:pPr>
    </w:p>
    <w:p w:rsidR="00000000" w:rsidRDefault="00D35856">
      <w:pPr>
        <w:keepNext w:val="0"/>
        <w:widowControl w:val="0"/>
      </w:pPr>
      <w:r>
        <w:t xml:space="preserve">Whilst </w:t>
      </w:r>
      <w:smartTag w:uri="urn:schemas-microsoft-com:office:smarttags" w:element="City">
        <w:r>
          <w:t>WELS</w:t>
        </w:r>
      </w:smartTag>
      <w:r>
        <w:t xml:space="preserve"> appears to be more cost-effective than other low cost demand options, it is unre</w:t>
      </w:r>
      <w:r>
        <w:t xml:space="preserve">alistic to infer that </w:t>
      </w:r>
      <w:smartTag w:uri="urn:schemas-microsoft-com:office:smarttags" w:element="City">
        <w:r>
          <w:t>WELS</w:t>
        </w:r>
      </w:smartTag>
      <w:r>
        <w:t xml:space="preserve"> would achieve the same cost-effectiveness if implemented in isolation from other options. As discussed in chapter 4, the success of </w:t>
      </w:r>
      <w:smartTag w:uri="urn:schemas-microsoft-com:office:smarttags" w:element="City">
        <w:r>
          <w:t>WELS</w:t>
        </w:r>
      </w:smartTag>
      <w:r>
        <w:t xml:space="preserve"> is context-dependent, relying in part upon rebate programs, building regulat</w:t>
      </w:r>
      <w:r>
        <w:t xml:space="preserve">ions and a water efficiency ethic emerging in response to protracted drought. </w:t>
      </w:r>
    </w:p>
    <w:p w:rsidR="00000000" w:rsidRDefault="00D35856">
      <w:pPr>
        <w:keepNext w:val="0"/>
        <w:widowControl w:val="0"/>
      </w:pPr>
      <w:r>
        <w:t xml:space="preserve">As discussed throughout this report, the projections of water savings, costs and benefits of </w:t>
      </w:r>
      <w:smartTag w:uri="urn:schemas-microsoft-com:office:smarttags" w:element="City">
        <w:r>
          <w:t>WELS</w:t>
        </w:r>
      </w:smartTag>
      <w:r>
        <w:t xml:space="preserve"> are uncertain and based on a number of assumptions. Nevertheless, a com</w:t>
      </w:r>
      <w:r>
        <w:t>parison of the cost-effectiveness of WELS to that of other urban water options should also acknowledge that the water savings, costs and benefits of these other options are also uncertain, and in some cases could be more exposed to other risks. For example</w:t>
      </w:r>
      <w:r>
        <w:t>, the costs of some supply options may be particularly uncertain in terms of environmental impacts, or future rising energy costs.</w:t>
      </w:r>
    </w:p>
    <w:tbl>
      <w:tblPr>
        <w:tblStyle w:val="TableGrid"/>
        <w:tblW w:w="0" w:type="auto"/>
        <w:tblLayout w:type="fixed"/>
        <w:tblLook w:val="01E0"/>
      </w:tblPr>
      <w:tblGrid>
        <w:gridCol w:w="8714"/>
      </w:tblGrid>
      <w:tr w:rsidR="00000000">
        <w:tc>
          <w:tcPr>
            <w:tcW w:w="8714" w:type="dxa"/>
          </w:tcPr>
          <w:p w:rsidR="00000000" w:rsidRDefault="00D35856">
            <w:pPr>
              <w:pStyle w:val="Caption"/>
              <w:keepNext w:val="0"/>
              <w:pageBreakBefore/>
              <w:rPr>
                <w:rFonts w:ascii="Palatino Linotype" w:hAnsi="Palatino Linotype"/>
                <w:color w:val="3366FF"/>
              </w:rPr>
            </w:pPr>
            <w:smartTag w:uri="urn:schemas-microsoft-com:office:smarttags" w:element="City">
              <w:r>
                <w:rPr>
                  <w:color w:val="3366FF"/>
                </w:rPr>
                <w:lastRenderedPageBreak/>
                <w:t>Box</w:t>
              </w:r>
            </w:smartTag>
            <w:r>
              <w:rPr>
                <w:color w:val="3366FF"/>
              </w:rPr>
              <w:t xml:space="preserve"> </w:t>
            </w:r>
            <w:r>
              <w:rPr>
                <w:color w:val="3366FF"/>
              </w:rPr>
              <w:fldChar w:fldCharType="begin"/>
            </w:r>
            <w:r>
              <w:rPr>
                <w:color w:val="3366FF"/>
              </w:rPr>
              <w:instrText xml:space="preserve"> STYLEREF 1 \s </w:instrText>
            </w:r>
            <w:r>
              <w:rPr>
                <w:color w:val="3366FF"/>
              </w:rPr>
              <w:fldChar w:fldCharType="separate"/>
            </w:r>
            <w:r>
              <w:rPr>
                <w:noProof/>
                <w:color w:val="3366FF"/>
              </w:rPr>
              <w:t>5</w:t>
            </w:r>
            <w:r>
              <w:rPr>
                <w:color w:val="3366FF"/>
              </w:rPr>
              <w:fldChar w:fldCharType="end"/>
            </w:r>
            <w:r>
              <w:rPr>
                <w:color w:val="3366FF"/>
              </w:rPr>
              <w:noBreakHyphen/>
            </w:r>
            <w:r>
              <w:rPr>
                <w:color w:val="3366FF"/>
              </w:rPr>
              <w:fldChar w:fldCharType="begin"/>
            </w:r>
            <w:r>
              <w:rPr>
                <w:color w:val="3366FF"/>
              </w:rPr>
              <w:instrText xml:space="preserve"> SEQ Box \* ARABIC \s 1 </w:instrText>
            </w:r>
            <w:r>
              <w:rPr>
                <w:color w:val="3366FF"/>
              </w:rPr>
              <w:fldChar w:fldCharType="separate"/>
            </w:r>
            <w:r>
              <w:rPr>
                <w:noProof/>
                <w:color w:val="3366FF"/>
              </w:rPr>
              <w:t>2</w:t>
            </w:r>
            <w:r>
              <w:rPr>
                <w:color w:val="3366FF"/>
              </w:rPr>
              <w:fldChar w:fldCharType="end"/>
            </w:r>
            <w:r>
              <w:rPr>
                <w:color w:val="3366FF"/>
              </w:rPr>
              <w:t xml:space="preserve"> Water pricing and </w:t>
            </w:r>
            <w:smartTag w:uri="urn:schemas-microsoft-com:office:smarttags" w:element="City">
              <w:r>
                <w:rPr>
                  <w:color w:val="3366FF"/>
                </w:rPr>
                <w:t>WELS</w:t>
              </w:r>
            </w:smartTag>
          </w:p>
          <w:p w:rsidR="00000000" w:rsidRDefault="00D35856">
            <w:pPr>
              <w:keepNext w:val="0"/>
              <w:pageBreakBefore/>
              <w:spacing w:after="0"/>
              <w:rPr>
                <w:rFonts w:ascii="Arial" w:hAnsi="Arial" w:cs="Arial"/>
                <w:color w:val="3366FF"/>
                <w:szCs w:val="19"/>
              </w:rPr>
            </w:pPr>
            <w:r>
              <w:rPr>
                <w:rFonts w:ascii="Arial" w:hAnsi="Arial" w:cs="Arial"/>
                <w:color w:val="3366FF"/>
                <w:szCs w:val="19"/>
              </w:rPr>
              <w:t xml:space="preserve">In recent debates about the importance of different measures (supply augmentation, source substitution, and efficiency) for achieving urban water security, the role of </w:t>
            </w:r>
            <w:r>
              <w:rPr>
                <w:rFonts w:ascii="Arial" w:hAnsi="Arial" w:cs="Arial"/>
                <w:i/>
                <w:color w:val="3366FF"/>
                <w:szCs w:val="19"/>
              </w:rPr>
              <w:t>pricing</w:t>
            </w:r>
            <w:r>
              <w:rPr>
                <w:rFonts w:ascii="Arial" w:hAnsi="Arial" w:cs="Arial"/>
                <w:color w:val="3366FF"/>
                <w:szCs w:val="19"/>
              </w:rPr>
              <w:t xml:space="preserve"> has been widely discussed. In </w:t>
            </w:r>
            <w:smartTag w:uri="urn:schemas-microsoft-com:office:smarttags" w:element="City">
              <w:r>
                <w:rPr>
                  <w:rFonts w:ascii="Arial" w:hAnsi="Arial" w:cs="Arial"/>
                  <w:color w:val="3366FF"/>
                  <w:szCs w:val="19"/>
                </w:rPr>
                <w:t>Australia</w:t>
              </w:r>
            </w:smartTag>
            <w:r>
              <w:rPr>
                <w:rFonts w:ascii="Arial" w:hAnsi="Arial" w:cs="Arial"/>
                <w:color w:val="3366FF"/>
                <w:szCs w:val="19"/>
              </w:rPr>
              <w:t>, water pricing is intended to me</w:t>
            </w:r>
            <w:r>
              <w:rPr>
                <w:rFonts w:ascii="Arial" w:hAnsi="Arial" w:cs="Arial"/>
                <w:color w:val="3366FF"/>
                <w:szCs w:val="19"/>
              </w:rPr>
              <w:t>et several objectives and criteria including: full cost recovery and consumption-based pricing, as reflected in the principles of COAG’s 1994 strategic framework for water reform; financial viability for water utilities; and distributional and equity issue</w:t>
            </w:r>
            <w:r>
              <w:rPr>
                <w:rFonts w:ascii="Arial" w:hAnsi="Arial" w:cs="Arial"/>
                <w:color w:val="3366FF"/>
                <w:szCs w:val="19"/>
              </w:rPr>
              <w:t xml:space="preserve">s. </w:t>
            </w:r>
          </w:p>
          <w:p w:rsidR="00000000" w:rsidRDefault="00D35856">
            <w:pPr>
              <w:keepNext w:val="0"/>
              <w:pageBreakBefore/>
              <w:spacing w:after="0"/>
              <w:rPr>
                <w:rFonts w:ascii="Arial" w:hAnsi="Arial" w:cs="Arial"/>
                <w:color w:val="3366FF"/>
                <w:szCs w:val="19"/>
              </w:rPr>
            </w:pPr>
          </w:p>
          <w:p w:rsidR="00000000" w:rsidRDefault="00D35856">
            <w:pPr>
              <w:keepNext w:val="0"/>
              <w:pageBreakBefore/>
              <w:spacing w:after="0"/>
              <w:rPr>
                <w:rFonts w:ascii="Arial" w:hAnsi="Arial" w:cs="Arial"/>
                <w:color w:val="3366FF"/>
                <w:szCs w:val="19"/>
              </w:rPr>
            </w:pPr>
            <w:r>
              <w:rPr>
                <w:rFonts w:ascii="Arial" w:hAnsi="Arial" w:cs="Arial"/>
                <w:color w:val="3366FF"/>
                <w:szCs w:val="19"/>
              </w:rPr>
              <w:t>More recently, scarcity-based drought pricing has been proposed as an alternative to urban water restrictions (see for example, Edwards (2006), Kompas and Grafton (2008)). By reducing demand during droughts, cost-effective and equitable drought respon</w:t>
            </w:r>
            <w:r>
              <w:rPr>
                <w:rFonts w:ascii="Arial" w:hAnsi="Arial" w:cs="Arial"/>
                <w:color w:val="3366FF"/>
                <w:szCs w:val="19"/>
              </w:rPr>
              <w:t>se measures have substantial implications in terms of the extent and mix of longer-term supply- or demand-side measures required to maintain water security.</w:t>
            </w:r>
          </w:p>
          <w:p w:rsidR="00000000" w:rsidRDefault="00D35856">
            <w:pPr>
              <w:keepNext w:val="0"/>
              <w:pageBreakBefore/>
              <w:spacing w:after="0"/>
              <w:rPr>
                <w:rFonts w:ascii="Arial" w:hAnsi="Arial" w:cs="Arial"/>
                <w:color w:val="3366FF"/>
                <w:szCs w:val="19"/>
              </w:rPr>
            </w:pPr>
          </w:p>
          <w:p w:rsidR="00000000" w:rsidRDefault="00D35856">
            <w:pPr>
              <w:keepNext w:val="0"/>
              <w:pageBreakBefore/>
              <w:spacing w:after="0"/>
              <w:rPr>
                <w:rFonts w:ascii="Arial" w:hAnsi="Arial" w:cs="Arial"/>
                <w:color w:val="3366FF"/>
                <w:szCs w:val="19"/>
              </w:rPr>
            </w:pPr>
            <w:r>
              <w:rPr>
                <w:rFonts w:ascii="Arial" w:hAnsi="Arial" w:cs="Arial"/>
                <w:color w:val="3366FF"/>
                <w:szCs w:val="19"/>
              </w:rPr>
              <w:t>The effect of water prices on demand has also been raised in the context of recent proposed increa</w:t>
            </w:r>
            <w:r>
              <w:rPr>
                <w:rFonts w:ascii="Arial" w:hAnsi="Arial" w:cs="Arial"/>
                <w:color w:val="3366FF"/>
                <w:szCs w:val="19"/>
              </w:rPr>
              <w:t xml:space="preserve">ses in the urban water price paths, which in many locations reflect upcoming infrastructure costs. Cost-recovery pricing should take into account the possible influence of price rises on demand, both in terms of determining the additional yield or savings </w:t>
            </w:r>
            <w:r>
              <w:rPr>
                <w:rFonts w:ascii="Arial" w:hAnsi="Arial" w:cs="Arial"/>
                <w:color w:val="3366FF"/>
                <w:szCs w:val="19"/>
              </w:rPr>
              <w:t>required and in setting the price paths.</w:t>
            </w:r>
          </w:p>
          <w:p w:rsidR="00000000" w:rsidRDefault="00D35856">
            <w:pPr>
              <w:keepNext w:val="0"/>
              <w:pageBreakBefore/>
              <w:spacing w:after="0"/>
              <w:rPr>
                <w:rFonts w:ascii="Arial" w:hAnsi="Arial" w:cs="Arial"/>
                <w:color w:val="3366FF"/>
                <w:szCs w:val="19"/>
              </w:rPr>
            </w:pPr>
          </w:p>
          <w:p w:rsidR="00000000" w:rsidRDefault="00D35856">
            <w:pPr>
              <w:keepNext w:val="0"/>
              <w:pageBreakBefore/>
              <w:spacing w:after="140"/>
              <w:rPr>
                <w:rFonts w:ascii="Arial" w:hAnsi="Arial" w:cs="Arial"/>
                <w:color w:val="3366FF"/>
                <w:szCs w:val="19"/>
              </w:rPr>
            </w:pPr>
            <w:r>
              <w:rPr>
                <w:rFonts w:ascii="Arial" w:hAnsi="Arial" w:cs="Arial"/>
                <w:color w:val="3366FF"/>
                <w:szCs w:val="19"/>
              </w:rPr>
              <w:t>The extent to which pricing will meet its objectives, or be an effective conservation measure, depends on consumer responses to price changes. However, the effect of proposed prices on water use is uncertain:</w:t>
            </w:r>
          </w:p>
          <w:p w:rsidR="00000000" w:rsidRDefault="00D35856">
            <w:pPr>
              <w:keepNext w:val="0"/>
              <w:pageBreakBefore/>
              <w:numPr>
                <w:ilvl w:val="0"/>
                <w:numId w:val="25"/>
              </w:numPr>
              <w:tabs>
                <w:tab w:val="clear" w:pos="1496"/>
                <w:tab w:val="num" w:pos="284"/>
              </w:tabs>
              <w:spacing w:after="140"/>
              <w:ind w:left="284" w:hanging="284"/>
              <w:rPr>
                <w:rFonts w:ascii="Arial" w:hAnsi="Arial" w:cs="Arial"/>
                <w:color w:val="3366FF"/>
                <w:szCs w:val="19"/>
              </w:rPr>
            </w:pPr>
            <w:r>
              <w:rPr>
                <w:rFonts w:ascii="Arial" w:hAnsi="Arial" w:cs="Arial"/>
                <w:b/>
                <w:color w:val="3366FF"/>
                <w:szCs w:val="19"/>
              </w:rPr>
              <w:t>Res</w:t>
            </w:r>
            <w:r>
              <w:rPr>
                <w:rFonts w:ascii="Arial" w:hAnsi="Arial" w:cs="Arial"/>
                <w:b/>
                <w:color w:val="3366FF"/>
                <w:szCs w:val="19"/>
              </w:rPr>
              <w:t>idential</w:t>
            </w:r>
            <w:r>
              <w:rPr>
                <w:rFonts w:ascii="Arial" w:hAnsi="Arial" w:cs="Arial"/>
                <w:color w:val="3366FF"/>
                <w:szCs w:val="19"/>
              </w:rPr>
              <w:t xml:space="preserve"> studies of price elasticity of demand internationally and in </w:t>
            </w:r>
            <w:smartTag w:uri="urn:schemas-microsoft-com:office:smarttags" w:element="City">
              <w:r>
                <w:rPr>
                  <w:rFonts w:ascii="Arial" w:hAnsi="Arial" w:cs="Arial"/>
                  <w:color w:val="3366FF"/>
                  <w:szCs w:val="19"/>
                </w:rPr>
                <w:t>Australia</w:t>
              </w:r>
            </w:smartTag>
            <w:r>
              <w:rPr>
                <w:rFonts w:ascii="Arial" w:hAnsi="Arial" w:cs="Arial"/>
                <w:color w:val="3366FF"/>
                <w:szCs w:val="19"/>
              </w:rPr>
              <w:t xml:space="preserve"> reveal certain patterns in terms of </w:t>
            </w:r>
            <w:r>
              <w:rPr>
                <w:rFonts w:ascii="Arial" w:hAnsi="Arial" w:cs="Arial"/>
                <w:i/>
                <w:color w:val="3366FF"/>
                <w:szCs w:val="19"/>
              </w:rPr>
              <w:t>relative</w:t>
            </w:r>
            <w:r>
              <w:rPr>
                <w:rFonts w:ascii="Arial" w:hAnsi="Arial" w:cs="Arial"/>
                <w:color w:val="3366FF"/>
                <w:szCs w:val="19"/>
              </w:rPr>
              <w:t xml:space="preserve"> elasticities – for example, that demand is more responsive in summer than in winter, in the long run than in the short run, and</w:t>
            </w:r>
            <w:r>
              <w:rPr>
                <w:rFonts w:ascii="Arial" w:hAnsi="Arial" w:cs="Arial"/>
                <w:color w:val="3366FF"/>
                <w:szCs w:val="19"/>
              </w:rPr>
              <w:t xml:space="preserve"> for outdoor ‘discretionary’ water uses than for indoor uses (Hoffman and </w:t>
            </w:r>
            <w:smartTag w:uri="urn:schemas-microsoft-com:office:smarttags" w:element="City">
              <w:r>
                <w:rPr>
                  <w:rFonts w:ascii="Arial" w:hAnsi="Arial" w:cs="Arial"/>
                  <w:color w:val="3366FF"/>
                  <w:szCs w:val="19"/>
                </w:rPr>
                <w:t>Worthington</w:t>
              </w:r>
            </w:smartTag>
            <w:r>
              <w:rPr>
                <w:rFonts w:ascii="Arial" w:hAnsi="Arial" w:cs="Arial"/>
                <w:color w:val="3366FF"/>
                <w:szCs w:val="19"/>
              </w:rPr>
              <w:t xml:space="preserve"> forthcoming). Some studies indicate that residential customers are more responsive to average prices or changes in total bill amounts, than marginal prices. Howev</w:t>
            </w:r>
            <w:r>
              <w:rPr>
                <w:rFonts w:ascii="Arial" w:hAnsi="Arial" w:cs="Arial"/>
                <w:color w:val="3366FF"/>
                <w:szCs w:val="19"/>
              </w:rPr>
              <w:t xml:space="preserve">er there is uncertainty about what exact </w:t>
            </w:r>
            <w:r>
              <w:rPr>
                <w:rFonts w:ascii="Arial" w:hAnsi="Arial" w:cs="Arial"/>
                <w:i/>
                <w:color w:val="3366FF"/>
                <w:szCs w:val="19"/>
              </w:rPr>
              <w:t>absolute</w:t>
            </w:r>
            <w:r>
              <w:rPr>
                <w:rFonts w:ascii="Arial" w:hAnsi="Arial" w:cs="Arial"/>
                <w:color w:val="3366FF"/>
                <w:szCs w:val="19"/>
              </w:rPr>
              <w:t xml:space="preserve"> price elasticity of demand applies in a specific current Australian situations. For example, empirical studies of residential price elasticities of demand in </w:t>
            </w:r>
            <w:smartTag w:uri="urn:schemas-microsoft-com:office:smarttags" w:element="City">
              <w:r>
                <w:rPr>
                  <w:rFonts w:ascii="Arial" w:hAnsi="Arial" w:cs="Arial"/>
                  <w:color w:val="3366FF"/>
                  <w:szCs w:val="19"/>
                </w:rPr>
                <w:t>Australia</w:t>
              </w:r>
            </w:smartTag>
            <w:r>
              <w:rPr>
                <w:rFonts w:ascii="Arial" w:hAnsi="Arial" w:cs="Arial"/>
                <w:color w:val="3366FF"/>
                <w:szCs w:val="19"/>
              </w:rPr>
              <w:t xml:space="preserve">, such as Dandy et. al (1997), </w:t>
            </w:r>
            <w:r>
              <w:rPr>
                <w:rFonts w:ascii="Arial" w:hAnsi="Arial" w:cs="Arial"/>
                <w:color w:val="3366FF"/>
                <w:szCs w:val="19"/>
              </w:rPr>
              <w:t xml:space="preserve">KPMG (2004) and Hoffman et al (2006), have not explicitly analysed demand elasticity during prolonged drought.  </w:t>
            </w:r>
          </w:p>
          <w:p w:rsidR="00000000" w:rsidRDefault="00D35856">
            <w:pPr>
              <w:keepNext w:val="0"/>
              <w:pageBreakBefore/>
              <w:numPr>
                <w:ilvl w:val="0"/>
                <w:numId w:val="25"/>
              </w:numPr>
              <w:tabs>
                <w:tab w:val="clear" w:pos="1496"/>
                <w:tab w:val="num" w:pos="284"/>
              </w:tabs>
              <w:spacing w:after="140"/>
              <w:ind w:left="284" w:hanging="284"/>
              <w:rPr>
                <w:rFonts w:ascii="Arial" w:hAnsi="Arial" w:cs="Arial"/>
                <w:color w:val="3366FF"/>
                <w:szCs w:val="19"/>
              </w:rPr>
            </w:pPr>
            <w:r>
              <w:rPr>
                <w:rFonts w:ascii="Arial" w:hAnsi="Arial" w:cs="Arial"/>
                <w:color w:val="3366FF"/>
                <w:szCs w:val="19"/>
              </w:rPr>
              <w:t xml:space="preserve">There are far fewer studies of </w:t>
            </w:r>
            <w:r>
              <w:rPr>
                <w:rFonts w:ascii="Arial" w:hAnsi="Arial" w:cs="Arial"/>
                <w:b/>
                <w:color w:val="3366FF"/>
                <w:szCs w:val="19"/>
              </w:rPr>
              <w:t>non-residential</w:t>
            </w:r>
            <w:r>
              <w:rPr>
                <w:rFonts w:ascii="Arial" w:hAnsi="Arial" w:cs="Arial"/>
                <w:color w:val="3366FF"/>
                <w:szCs w:val="19"/>
              </w:rPr>
              <w:t xml:space="preserve"> responsiveness to water pricing, either by sector or in aggregate. A review of studies which e</w:t>
            </w:r>
            <w:r>
              <w:rPr>
                <w:rFonts w:ascii="Arial" w:hAnsi="Arial" w:cs="Arial"/>
                <w:color w:val="3366FF"/>
                <w:szCs w:val="19"/>
              </w:rPr>
              <w:t xml:space="preserve">stimate price-elasticity of non-residential demand for water did not identify any Australian analyses (ACIL Tasman (2007)). </w:t>
            </w:r>
          </w:p>
          <w:p w:rsidR="00000000" w:rsidRDefault="00D35856">
            <w:pPr>
              <w:keepNext w:val="0"/>
              <w:pageBreakBefore/>
              <w:spacing w:after="0"/>
              <w:rPr>
                <w:rFonts w:ascii="Arial" w:hAnsi="Arial" w:cs="Arial"/>
                <w:color w:val="3366FF"/>
                <w:szCs w:val="19"/>
              </w:rPr>
            </w:pPr>
            <w:r>
              <w:rPr>
                <w:rFonts w:ascii="Arial" w:hAnsi="Arial" w:cs="Arial"/>
                <w:color w:val="3366FF"/>
                <w:szCs w:val="19"/>
              </w:rPr>
              <w:t xml:space="preserve">In terms of the relevance of urban water pricing to the cost-effectiveness of </w:t>
            </w:r>
            <w:smartTag w:uri="urn:schemas-microsoft-com:office:smarttags" w:element="City">
              <w:r>
                <w:rPr>
                  <w:rFonts w:ascii="Arial" w:hAnsi="Arial" w:cs="Arial"/>
                  <w:color w:val="3366FF"/>
                  <w:szCs w:val="19"/>
                </w:rPr>
                <w:t>WELS</w:t>
              </w:r>
            </w:smartTag>
            <w:r>
              <w:rPr>
                <w:rFonts w:ascii="Arial" w:hAnsi="Arial" w:cs="Arial"/>
                <w:color w:val="3366FF"/>
                <w:szCs w:val="19"/>
              </w:rPr>
              <w:t>:</w:t>
            </w:r>
          </w:p>
          <w:p w:rsidR="00000000" w:rsidRDefault="00D35856">
            <w:pPr>
              <w:keepNext w:val="0"/>
              <w:pageBreakBefore/>
              <w:spacing w:after="0"/>
              <w:rPr>
                <w:rFonts w:ascii="Arial" w:hAnsi="Arial" w:cs="Arial"/>
                <w:color w:val="3366FF"/>
                <w:szCs w:val="19"/>
              </w:rPr>
            </w:pPr>
          </w:p>
          <w:p w:rsidR="00000000" w:rsidRDefault="00D35856">
            <w:pPr>
              <w:keepNext w:val="0"/>
              <w:pageBreakBefore/>
              <w:numPr>
                <w:ilvl w:val="0"/>
                <w:numId w:val="25"/>
              </w:numPr>
              <w:tabs>
                <w:tab w:val="clear" w:pos="1496"/>
                <w:tab w:val="num" w:pos="284"/>
              </w:tabs>
              <w:spacing w:after="140"/>
              <w:ind w:left="284" w:hanging="284"/>
              <w:rPr>
                <w:rFonts w:ascii="Arial" w:hAnsi="Arial" w:cs="Arial"/>
                <w:color w:val="3366FF"/>
                <w:szCs w:val="19"/>
              </w:rPr>
            </w:pPr>
            <w:r>
              <w:rPr>
                <w:rFonts w:ascii="Arial" w:hAnsi="Arial" w:cs="Arial"/>
                <w:color w:val="3366FF"/>
                <w:szCs w:val="19"/>
              </w:rPr>
              <w:t>In Australian states and territories</w:t>
            </w:r>
            <w:r>
              <w:rPr>
                <w:rFonts w:ascii="Arial" w:hAnsi="Arial" w:cs="Arial"/>
                <w:color w:val="3366FF"/>
                <w:szCs w:val="19"/>
              </w:rPr>
              <w:t xml:space="preserve">, raising water prices have not been implemented as a water conservation instrument, ie. with the explicit objective of reducing water use. Therefore in this study, the cost-effectiveness of “water pricing” as an urban water management option has not been </w:t>
            </w:r>
            <w:r>
              <w:rPr>
                <w:rFonts w:ascii="Arial" w:hAnsi="Arial" w:cs="Arial"/>
                <w:color w:val="3366FF"/>
                <w:szCs w:val="19"/>
              </w:rPr>
              <w:t>assessed.</w:t>
            </w:r>
          </w:p>
          <w:p w:rsidR="00000000" w:rsidRDefault="00D35856">
            <w:pPr>
              <w:keepNext w:val="0"/>
              <w:pageBreakBefore/>
              <w:numPr>
                <w:ilvl w:val="0"/>
                <w:numId w:val="25"/>
              </w:numPr>
              <w:tabs>
                <w:tab w:val="clear" w:pos="1496"/>
                <w:tab w:val="num" w:pos="284"/>
              </w:tabs>
              <w:spacing w:after="140"/>
              <w:ind w:left="284" w:hanging="284"/>
              <w:rPr>
                <w:rFonts w:ascii="Arial" w:hAnsi="Arial" w:cs="Arial"/>
                <w:color w:val="3366FF"/>
                <w:szCs w:val="19"/>
              </w:rPr>
            </w:pPr>
            <w:r>
              <w:rPr>
                <w:rFonts w:ascii="Arial" w:hAnsi="Arial" w:cs="Arial"/>
                <w:color w:val="3366FF"/>
                <w:szCs w:val="19"/>
              </w:rPr>
              <w:t>As noted above, there is uncertainty about the effect of prices on water use – and it is likely that, at least historically, other influences such as the drought and general concern about water shortages have been stronger drivers of residentia</w:t>
            </w:r>
            <w:r>
              <w:rPr>
                <w:rFonts w:ascii="Arial" w:hAnsi="Arial" w:cs="Arial"/>
                <w:color w:val="3366FF"/>
                <w:szCs w:val="19"/>
              </w:rPr>
              <w:t xml:space="preserve">l water conservation. However, </w:t>
            </w:r>
            <w:smartTag w:uri="urn:schemas-microsoft-com:office:smarttags" w:element="City">
              <w:r>
                <w:rPr>
                  <w:rFonts w:ascii="Arial" w:hAnsi="Arial" w:cs="Arial"/>
                  <w:color w:val="3366FF"/>
                  <w:szCs w:val="19"/>
                </w:rPr>
                <w:t>WELS</w:t>
              </w:r>
            </w:smartTag>
            <w:r>
              <w:rPr>
                <w:rFonts w:ascii="Arial" w:hAnsi="Arial" w:cs="Arial"/>
                <w:color w:val="3366FF"/>
                <w:szCs w:val="19"/>
              </w:rPr>
              <w:t xml:space="preserve"> may theoretically (at high enough price ranges) enable some users who, wishing to save money through saving water, to do so by using more water-efficient products. This will however also depend on the extent to w</w:t>
            </w:r>
            <w:r>
              <w:rPr>
                <w:rFonts w:ascii="Arial" w:hAnsi="Arial" w:cs="Arial"/>
                <w:color w:val="3366FF"/>
                <w:szCs w:val="19"/>
              </w:rPr>
              <w:t>hich improvements in the efficiency of the existing stock have already taken place.</w:t>
            </w:r>
          </w:p>
        </w:tc>
      </w:tr>
    </w:tbl>
    <w:p w:rsidR="00000000" w:rsidRDefault="00D35856">
      <w:pPr>
        <w:keepNext w:val="0"/>
        <w:widowControl w:val="0"/>
      </w:pPr>
    </w:p>
    <w:p w:rsidR="00000000" w:rsidRDefault="00D35856">
      <w:pPr>
        <w:pStyle w:val="Heading1"/>
        <w:numPr>
          <w:ilvl w:val="0"/>
          <w:numId w:val="3"/>
        </w:numPr>
        <w:tabs>
          <w:tab w:val="clear" w:pos="1152"/>
        </w:tabs>
        <w:ind w:left="567" w:hanging="567"/>
        <w:rPr>
          <w:smallCaps/>
          <w:color w:val="auto"/>
        </w:rPr>
      </w:pPr>
      <w:bookmarkStart w:id="257" w:name="_Toc199933772"/>
      <w:r>
        <w:rPr>
          <w:smallCaps/>
          <w:color w:val="auto"/>
        </w:rPr>
        <w:lastRenderedPageBreak/>
        <w:t>Opportunities</w:t>
      </w:r>
      <w:bookmarkEnd w:id="257"/>
      <w:r>
        <w:rPr>
          <w:smallCaps/>
          <w:color w:val="auto"/>
        </w:rPr>
        <w:t xml:space="preserve"> </w:t>
      </w:r>
    </w:p>
    <w:p w:rsidR="00000000" w:rsidRDefault="00D35856">
      <w:pPr>
        <w:keepNext w:val="0"/>
        <w:widowControl w:val="0"/>
      </w:pPr>
      <w:r>
        <w:t>Although WELS in general leads to mutually-reinforcing demand- and supply-driven water savings, se</w:t>
      </w:r>
      <w:r>
        <w:t xml:space="preserve">veral issues have been raised by stakeholders about the extent to which particular features of WELS drive (or inhibit) innovation in water efficiency, or regarding the operation of the scheme in general. These are discussed in this section. </w:t>
      </w:r>
    </w:p>
    <w:p w:rsidR="00000000" w:rsidRDefault="00D35856">
      <w:pPr>
        <w:pStyle w:val="Heading2"/>
        <w:numPr>
          <w:ilvl w:val="1"/>
          <w:numId w:val="3"/>
        </w:numPr>
        <w:tabs>
          <w:tab w:val="clear" w:pos="1296"/>
        </w:tabs>
        <w:ind w:left="567" w:hanging="567"/>
        <w:rPr>
          <w:color w:val="auto"/>
        </w:rPr>
      </w:pPr>
      <w:bookmarkStart w:id="258" w:name="_Toc199933773"/>
      <w:r>
        <w:rPr>
          <w:color w:val="auto"/>
        </w:rPr>
        <w:t>Innovation</w:t>
      </w:r>
      <w:bookmarkEnd w:id="258"/>
      <w:r>
        <w:rPr>
          <w:color w:val="auto"/>
        </w:rPr>
        <w:t xml:space="preserve"> </w:t>
      </w:r>
    </w:p>
    <w:p w:rsidR="00000000" w:rsidRDefault="00D35856">
      <w:pPr>
        <w:keepNext w:val="0"/>
        <w:widowControl w:val="0"/>
      </w:pPr>
      <w:r>
        <w:t>Some elements of current technical standards specifications provide disincentives (or perverse incentives) for innovation of more water-efficient technologies. For example:</w:t>
      </w:r>
    </w:p>
    <w:p w:rsidR="00000000" w:rsidRDefault="00D35856">
      <w:pPr>
        <w:keepNext w:val="0"/>
        <w:widowControl w:val="0"/>
        <w:numPr>
          <w:ilvl w:val="0"/>
          <w:numId w:val="23"/>
        </w:numPr>
        <w:tabs>
          <w:tab w:val="clear" w:pos="1440"/>
          <w:tab w:val="num" w:pos="360"/>
        </w:tabs>
        <w:ind w:left="360"/>
      </w:pPr>
      <w:r>
        <w:t>The highest star rating for showers is currently 3 st</w:t>
      </w:r>
      <w:r>
        <w:t>ars, although provision has been made in the standards to provide guidance for “likely” 4, 5 and 6 star ratings (AS/NZS 6400:2005). Where uncertainty remains as to when and if these higher star ratings will be introduced, there is no strong incentive for s</w:t>
      </w:r>
      <w:r>
        <w:t>uppliers to develop or market showerheads with maximum flow rates less than 9.0L/minute. Similarly for taps and toilets, the potential for introduction of more water efficient showerheads depends at least in part on the feasibility of reducing minimum flow</w:t>
      </w:r>
      <w:r>
        <w:t xml:space="preserve"> requirements. </w:t>
      </w:r>
    </w:p>
    <w:p w:rsidR="00000000" w:rsidRDefault="00D35856">
      <w:pPr>
        <w:keepNext w:val="0"/>
        <w:widowControl w:val="0"/>
        <w:numPr>
          <w:ilvl w:val="0"/>
          <w:numId w:val="23"/>
        </w:numPr>
        <w:tabs>
          <w:tab w:val="clear" w:pos="1440"/>
          <w:tab w:val="num" w:pos="360"/>
        </w:tabs>
        <w:ind w:left="360"/>
      </w:pPr>
      <w:r>
        <w:t>For clothes washing machines, water star rating testing is based on full loads, although in practice many loads conducted are part loads. Models with load sensing capabilities have the potential to reduce water use, however current standa</w:t>
      </w:r>
      <w:r>
        <w:t xml:space="preserve">rds do not provide an incentive for manufacturers to design or implement these capabilities. This could be rectified by introduction of part load testing requirements for water star rating (similar to the commitment made for energy labelling). </w:t>
      </w:r>
    </w:p>
    <w:p w:rsidR="00000000" w:rsidRDefault="00D35856">
      <w:pPr>
        <w:keepNext w:val="0"/>
        <w:widowControl w:val="0"/>
        <w:numPr>
          <w:ilvl w:val="0"/>
          <w:numId w:val="23"/>
        </w:numPr>
        <w:tabs>
          <w:tab w:val="clear" w:pos="1440"/>
          <w:tab w:val="num" w:pos="360"/>
        </w:tabs>
        <w:ind w:left="360"/>
      </w:pPr>
      <w:r>
        <w:t>A small p</w:t>
      </w:r>
      <w:r>
        <w:t>roportion of dishwasher models can be operated on a setting which adjusts water use automatically, in response to soil load testing. Operating a dishwasher on this setting is likely to use substantially more water (and energy) than operation on normal sett</w:t>
      </w:r>
      <w:r>
        <w:t xml:space="preserve">ings, however current standards do not include testing of water use on soil load testing. </w:t>
      </w:r>
    </w:p>
    <w:p w:rsidR="00000000" w:rsidRDefault="00D35856">
      <w:pPr>
        <w:keepNext w:val="0"/>
        <w:widowControl w:val="0"/>
        <w:numPr>
          <w:ilvl w:val="0"/>
          <w:numId w:val="23"/>
        </w:numPr>
        <w:tabs>
          <w:tab w:val="clear" w:pos="1440"/>
          <w:tab w:val="num" w:pos="360"/>
        </w:tabs>
        <w:ind w:left="360"/>
      </w:pPr>
      <w:r>
        <w:t>A small proportion of clothes washer models also have a dryer facility. It has been reported that these washer-dryers use a significant amount of water in the dryi</w:t>
      </w:r>
      <w:r>
        <w:t xml:space="preserve">ng cycle that separate dryer machines do not use. However, as this water is part of the drying cycle, it has not to date been included in the technical standards for </w:t>
      </w:r>
      <w:smartTag w:uri="urn:schemas-microsoft-com:office:smarttags" w:element="City">
        <w:r>
          <w:t>WELS</w:t>
        </w:r>
      </w:smartTag>
      <w:r>
        <w:t xml:space="preserve"> on washing machines. A future revision of the standards should include a prov</w:t>
      </w:r>
      <w:r>
        <w:t xml:space="preserve">ision for washer dryers that penalises these machines for the extra water used in the drying cycle even through the washing cycle may be water efficient.  </w:t>
      </w:r>
    </w:p>
    <w:p w:rsidR="00000000" w:rsidRDefault="00D35856">
      <w:r>
        <w:t>Concerns have also been raised about features of the registration process and system that could inhi</w:t>
      </w:r>
      <w:r>
        <w:t>bit innovation:</w:t>
      </w:r>
    </w:p>
    <w:p w:rsidR="00000000" w:rsidRDefault="00D35856">
      <w:pPr>
        <w:keepNext w:val="0"/>
        <w:widowControl w:val="0"/>
        <w:numPr>
          <w:ilvl w:val="0"/>
          <w:numId w:val="23"/>
        </w:numPr>
        <w:tabs>
          <w:tab w:val="clear" w:pos="1440"/>
          <w:tab w:val="num" w:pos="360"/>
        </w:tabs>
        <w:ind w:left="360"/>
      </w:pPr>
      <w:r>
        <w:t>The registration fee and structure could also act as inadvertent barriers to innovation. The initial registration fee ($1500 per model) is likely to be sufficiently high to encourage suppliers to consider ways to register family additions</w:t>
      </w:r>
      <w:r>
        <w:t xml:space="preserve"> (which incur no extra charge), rather than developing and registering new models. </w:t>
      </w:r>
    </w:p>
    <w:p w:rsidR="00000000" w:rsidRDefault="00D35856">
      <w:pPr>
        <w:keepNext w:val="0"/>
        <w:widowControl w:val="0"/>
        <w:numPr>
          <w:ilvl w:val="0"/>
          <w:numId w:val="23"/>
        </w:numPr>
        <w:tabs>
          <w:tab w:val="clear" w:pos="1440"/>
          <w:tab w:val="num" w:pos="360"/>
        </w:tabs>
        <w:ind w:left="360"/>
      </w:pPr>
      <w:r>
        <w:lastRenderedPageBreak/>
        <w:t xml:space="preserve">For clothes washing machines and dishwashers, concerns have also been raised about the 5-year registration period for </w:t>
      </w:r>
      <w:smartTag w:uri="urn:schemas-microsoft-com:office:smarttags" w:element="City">
        <w:r>
          <w:t>WELS</w:t>
        </w:r>
      </w:smartTag>
      <w:r>
        <w:t xml:space="preserve"> products, and the extent to which lack </w:t>
      </w:r>
      <w:r>
        <w:t>of coordination in implementing changes to technical standards across energy and water labelling inhibits innovation in water and energy efficiency. For example, the energy labelling scheme introduced a new rinse test requirement for clothes washing machin</w:t>
      </w:r>
      <w:r>
        <w:t xml:space="preserve">es, but for a period of time </w:t>
      </w:r>
      <w:smartTag w:uri="urn:schemas-microsoft-com:office:smarttags" w:element="City">
        <w:r>
          <w:t>WELS</w:t>
        </w:r>
      </w:smartTag>
      <w:r>
        <w:t xml:space="preserve"> continued to accept partial testing for rinse performance. </w:t>
      </w:r>
    </w:p>
    <w:p w:rsidR="00000000" w:rsidRDefault="00D35856">
      <w:pPr>
        <w:keepNext w:val="0"/>
        <w:widowControl w:val="0"/>
        <w:numPr>
          <w:ilvl w:val="0"/>
          <w:numId w:val="23"/>
        </w:numPr>
        <w:tabs>
          <w:tab w:val="clear" w:pos="1440"/>
          <w:tab w:val="num" w:pos="360"/>
        </w:tabs>
        <w:ind w:left="360"/>
      </w:pPr>
      <w:r>
        <w:t>Industry stakeholders have also expressed concerns about a lack of clarity around what enforcement and compliance activities will take place. Without co</w:t>
      </w:r>
      <w:r>
        <w:t xml:space="preserve">mpliance monitoring, the incentive to develop new technologies in response to </w:t>
      </w:r>
      <w:smartTag w:uri="urn:schemas-microsoft-com:office:smarttags" w:element="City">
        <w:r>
          <w:t>WELS</w:t>
        </w:r>
      </w:smartTag>
      <w:r>
        <w:t xml:space="preserve"> is dampened. To date, check testing of registrations had not occurred, however the Department expects to spend approximately $100 000 per year on enforcement and com</w:t>
      </w:r>
      <w:r>
        <w:t>pliance activities from 2008—2009 (DEWHA, pers. comm.)</w:t>
      </w:r>
    </w:p>
    <w:p w:rsidR="00000000" w:rsidRDefault="00D35856">
      <w:pPr>
        <w:pStyle w:val="Heading2"/>
        <w:numPr>
          <w:ilvl w:val="1"/>
          <w:numId w:val="3"/>
        </w:numPr>
        <w:tabs>
          <w:tab w:val="clear" w:pos="1296"/>
        </w:tabs>
        <w:ind w:left="567" w:hanging="567"/>
        <w:rPr>
          <w:color w:val="auto"/>
        </w:rPr>
      </w:pPr>
      <w:bookmarkStart w:id="259" w:name="_Toc199933774"/>
      <w:r>
        <w:rPr>
          <w:color w:val="auto"/>
        </w:rPr>
        <w:t>Streamlining  with other programs</w:t>
      </w:r>
      <w:bookmarkEnd w:id="259"/>
    </w:p>
    <w:p w:rsidR="00000000" w:rsidRDefault="00D35856">
      <w:pPr>
        <w:keepNext w:val="0"/>
      </w:pPr>
      <w:r>
        <w:t xml:space="preserve">Although it was beyond the scope of this study to conduct detailed analysis of the interactions between </w:t>
      </w:r>
      <w:smartTag w:uri="urn:schemas-microsoft-com:office:smarttags" w:element="City">
        <w:r>
          <w:t>WELS</w:t>
        </w:r>
      </w:smartTag>
      <w:r>
        <w:t xml:space="preserve"> and other programs, oppo</w:t>
      </w:r>
      <w:r>
        <w:t xml:space="preserve">rtunities exist to streamline the integration and leverage the complementarities between </w:t>
      </w:r>
      <w:smartTag w:uri="urn:schemas-microsoft-com:office:smarttags" w:element="City">
        <w:r>
          <w:t>WELS</w:t>
        </w:r>
      </w:smartTag>
      <w:r>
        <w:t xml:space="preserve"> and other programs. For example, from the perspectives of industry stakeholders, the issue of consistency with other plumbing regulations is particularly </w:t>
      </w:r>
      <w:r>
        <w:t xml:space="preserve">related to the costs incurred (or perceived) due to </w:t>
      </w:r>
      <w:smartTag w:uri="urn:schemas-microsoft-com:office:smarttags" w:element="City">
        <w:r>
          <w:t>WELS</w:t>
        </w:r>
      </w:smartTag>
      <w:r>
        <w:t xml:space="preserve"> - and hence the likely acceptability of any future changes or additions to the scheme. </w:t>
      </w:r>
    </w:p>
    <w:p w:rsidR="00000000" w:rsidRDefault="00D35856">
      <w:pPr>
        <w:keepNext w:val="0"/>
      </w:pPr>
      <w:r>
        <w:t>Stakeholders interviewed for this study suggested that the product rebates and building regulations lin</w:t>
      </w:r>
      <w:r>
        <w:t xml:space="preserve">ked to </w:t>
      </w:r>
      <w:smartTag w:uri="urn:schemas-microsoft-com:office:smarttags" w:element="City">
        <w:r>
          <w:t>WELS</w:t>
        </w:r>
      </w:smartTag>
      <w:r>
        <w:t xml:space="preserve"> have driven both the supply and demand for higher star-rated products. Although programs and policies associated with </w:t>
      </w:r>
      <w:smartTag w:uri="urn:schemas-microsoft-com:office:smarttags" w:element="City">
        <w:r>
          <w:t>WELS</w:t>
        </w:r>
      </w:smartTag>
      <w:r>
        <w:t xml:space="preserve"> are key to pushing the boundaries of innovation, a streamlined, integrated approach to implementation and</w:t>
      </w:r>
      <w:r>
        <w:t xml:space="preserve"> staging, in consultation with industry, will help minimise any propagation of adjustment costs through the supply chain. This relates not only to costs to suppliers or changing product, but also ensuring availability of product ranges for potential consum</w:t>
      </w:r>
      <w:r>
        <w:t xml:space="preserve">ers. </w:t>
      </w:r>
    </w:p>
    <w:p w:rsidR="00000000" w:rsidRDefault="00D35856">
      <w:pPr>
        <w:keepNext w:val="0"/>
      </w:pPr>
      <w:r>
        <w:t>There has also been anecdotal evidence from that there could be opportunities for long-term “lock-in” of the water efficiency savings achieved under rebate and retrofit schemes, by supporting WELS with minimum standards on all products.</w:t>
      </w:r>
    </w:p>
    <w:p w:rsidR="00000000" w:rsidRDefault="00D35856">
      <w:pPr>
        <w:pStyle w:val="Heading2"/>
        <w:numPr>
          <w:ilvl w:val="1"/>
          <w:numId w:val="3"/>
        </w:numPr>
        <w:tabs>
          <w:tab w:val="clear" w:pos="1296"/>
        </w:tabs>
        <w:ind w:left="567" w:hanging="567"/>
      </w:pPr>
      <w:bookmarkStart w:id="260" w:name="_Toc199933775"/>
      <w:r>
        <w:t>Further data and analysis</w:t>
      </w:r>
      <w:bookmarkEnd w:id="260"/>
      <w:r>
        <w:t xml:space="preserve"> </w:t>
      </w:r>
    </w:p>
    <w:p w:rsidR="00000000" w:rsidRDefault="00D35856">
      <w:pPr>
        <w:keepNext w:val="0"/>
      </w:pPr>
      <w:r>
        <w:t xml:space="preserve">This study has also revealed many opportunities for </w:t>
      </w:r>
      <w:r>
        <w:rPr>
          <w:b/>
        </w:rPr>
        <w:t>improved data-collection</w:t>
      </w:r>
      <w:r>
        <w:t xml:space="preserve"> to assist future evaluations. Although this study represents the first detailed cost-effectiveness analysis of </w:t>
      </w:r>
      <w:smartTag w:uri="urn:schemas-microsoft-com:office:smarttags" w:element="City">
        <w:r>
          <w:t>WELS</w:t>
        </w:r>
      </w:smartTag>
      <w:r>
        <w:t xml:space="preserve"> that has been conducted using data and information drawn directly from the operation of the scheme, as the scheme has been operating for less than two years, the evaluation undertaken was only partial. The review of available data conducted in order to mo</w:t>
      </w:r>
      <w:r>
        <w:t>del estimates of future savings, costs and benefits revealed data gaps in terms of residential and non-residential end-uses, particularly for taps, showers, toilets and urinals. As industry-wide sales data was not available for these product types, and due</w:t>
      </w:r>
      <w:r>
        <w:t xml:space="preserve"> to the nature of these sectors and markets  would be difficult to comprehensively collect, </w:t>
      </w:r>
      <w:r>
        <w:rPr>
          <w:b/>
        </w:rPr>
        <w:t>this study recommends focussing on surveying end-users</w:t>
      </w:r>
      <w:r>
        <w:t xml:space="preserve"> </w:t>
      </w:r>
      <w:r>
        <w:lastRenderedPageBreak/>
        <w:t>(rather than suppliers or retailers) to increase understanding of the components, patterns, trends and driver</w:t>
      </w:r>
      <w:r>
        <w:t>s of water use. This will enable better evaluation and hence assist in the improved design and implementation of water efficiency programs in the future.</w:t>
      </w:r>
    </w:p>
    <w:p w:rsidR="00000000" w:rsidRDefault="00D35856">
      <w:pPr>
        <w:keepNext w:val="0"/>
      </w:pPr>
      <w:r>
        <w:t>As noted throughout this report, the analysis, particularly the projections of water savings and the p</w:t>
      </w:r>
      <w:r>
        <w:t xml:space="preserve">rojections components of benefits and costs, have been based on various </w:t>
      </w:r>
      <w:r>
        <w:rPr>
          <w:b/>
        </w:rPr>
        <w:t>assumptions about customer behaviour</w:t>
      </w:r>
      <w:r>
        <w:t>, including customer responses to labelling. Although some of these have been inferred from previous patterns of labelling and consumer responses, a</w:t>
      </w:r>
      <w:r>
        <w:t xml:space="preserve">nd general increases in awareness of </w:t>
      </w:r>
      <w:smartTag w:uri="urn:schemas-microsoft-com:office:smarttags" w:element="City">
        <w:r>
          <w:t>WELS</w:t>
        </w:r>
      </w:smartTag>
      <w:r>
        <w:t xml:space="preserve">, these relationships have not been empirically tested nor has the extent of causality been robustly (in the statistical sense) established. This study recommends </w:t>
      </w:r>
      <w:r>
        <w:rPr>
          <w:b/>
        </w:rPr>
        <w:t>customer surveying and research</w:t>
      </w:r>
      <w:r>
        <w:t xml:space="preserve"> to examine:</w:t>
      </w:r>
    </w:p>
    <w:p w:rsidR="00000000" w:rsidRDefault="00D35856">
      <w:pPr>
        <w:keepNext w:val="0"/>
        <w:numPr>
          <w:ilvl w:val="1"/>
          <w:numId w:val="23"/>
        </w:numPr>
        <w:tabs>
          <w:tab w:val="clear" w:pos="1440"/>
          <w:tab w:val="num" w:pos="360"/>
        </w:tabs>
        <w:ind w:left="360"/>
        <w:rPr>
          <w:b/>
        </w:rPr>
      </w:pPr>
      <w:r>
        <w:t>the interrelationship between the drivers of water use efficient purchase decisions, particularly the incentives provided by rebate and retrofit programs, and information on water use efficiency</w:t>
      </w:r>
    </w:p>
    <w:p w:rsidR="00000000" w:rsidRDefault="00D35856">
      <w:pPr>
        <w:keepNext w:val="0"/>
        <w:numPr>
          <w:ilvl w:val="1"/>
          <w:numId w:val="23"/>
        </w:numPr>
        <w:tabs>
          <w:tab w:val="clear" w:pos="1440"/>
          <w:tab w:val="num" w:pos="360"/>
        </w:tabs>
        <w:ind w:left="360"/>
        <w:rPr>
          <w:b/>
        </w:rPr>
      </w:pPr>
      <w:r>
        <w:t xml:space="preserve">whether some consumers do not respond to </w:t>
      </w:r>
      <w:smartTag w:uri="urn:schemas-microsoft-com:office:smarttags" w:element="City">
        <w:r>
          <w:t>WELS</w:t>
        </w:r>
      </w:smartTag>
      <w:r>
        <w:t xml:space="preserve"> bec</w:t>
      </w:r>
      <w:r>
        <w:t>ause the labels provide information about water use efficiency, but not about dollar savings</w:t>
      </w:r>
    </w:p>
    <w:p w:rsidR="00000000" w:rsidRDefault="00D35856">
      <w:pPr>
        <w:keepNext w:val="0"/>
        <w:numPr>
          <w:ilvl w:val="1"/>
          <w:numId w:val="23"/>
        </w:numPr>
        <w:tabs>
          <w:tab w:val="clear" w:pos="1440"/>
          <w:tab w:val="num" w:pos="360"/>
        </w:tabs>
        <w:ind w:left="360"/>
        <w:rPr>
          <w:b/>
        </w:rPr>
      </w:pPr>
      <w:r>
        <w:t xml:space="preserve">the difference in responsiveness to </w:t>
      </w:r>
      <w:smartTag w:uri="urn:schemas-microsoft-com:office:smarttags" w:element="City">
        <w:r>
          <w:t>WELS</w:t>
        </w:r>
      </w:smartTag>
      <w:r>
        <w:t xml:space="preserve"> between residential and non-residential sectors, and further opportunities in the non-residential sector</w:t>
      </w:r>
    </w:p>
    <w:p w:rsidR="00000000" w:rsidRDefault="00D35856">
      <w:pPr>
        <w:keepNext w:val="0"/>
        <w:numPr>
          <w:ilvl w:val="1"/>
          <w:numId w:val="23"/>
        </w:numPr>
        <w:tabs>
          <w:tab w:val="clear" w:pos="1440"/>
          <w:tab w:val="num" w:pos="360"/>
        </w:tabs>
        <w:ind w:left="360"/>
        <w:rPr>
          <w:b/>
        </w:rPr>
      </w:pPr>
      <w:r>
        <w:t>the e</w:t>
      </w:r>
      <w:r>
        <w:t>xtent of split incentives affecting landlords/renters, or (in apartments) body corporates/residents.</w:t>
      </w:r>
    </w:p>
    <w:p w:rsidR="00000000" w:rsidRDefault="00D35856">
      <w:pPr>
        <w:keepNext w:val="0"/>
        <w:widowControl w:val="0"/>
      </w:pPr>
    </w:p>
    <w:p w:rsidR="00000000" w:rsidRDefault="00D35856">
      <w:pPr>
        <w:pStyle w:val="Heading1"/>
        <w:numPr>
          <w:ilvl w:val="0"/>
          <w:numId w:val="3"/>
        </w:numPr>
        <w:tabs>
          <w:tab w:val="clear" w:pos="1152"/>
        </w:tabs>
        <w:ind w:left="567" w:hanging="567"/>
        <w:rPr>
          <w:color w:val="auto"/>
        </w:rPr>
      </w:pPr>
      <w:bookmarkStart w:id="261" w:name="_Toc199933776"/>
      <w:r>
        <w:rPr>
          <w:color w:val="auto"/>
        </w:rPr>
        <w:lastRenderedPageBreak/>
        <w:t>Summary of key findings</w:t>
      </w:r>
      <w:bookmarkEnd w:id="261"/>
      <w:r>
        <w:rPr>
          <w:color w:val="auto"/>
        </w:rPr>
        <w:t xml:space="preserve"> </w:t>
      </w:r>
    </w:p>
    <w:p w:rsidR="00000000" w:rsidRDefault="00D35856">
      <w:pPr>
        <w:keepNext w:val="0"/>
      </w:pPr>
      <w:r>
        <w:t xml:space="preserve">The over-arching objective of this project was to establish the cost-effectiveness of </w:t>
      </w:r>
      <w:smartTag w:uri="urn:schemas-microsoft-com:office:smarttags" w:element="City">
        <w:r>
          <w:t>WELS</w:t>
        </w:r>
      </w:smartTag>
      <w:r>
        <w:t>, r</w:t>
      </w:r>
      <w:r>
        <w:t xml:space="preserve">elative to other water management options. The analysis undertaken for this study demonstrates that </w:t>
      </w:r>
      <w:smartTag w:uri="urn:schemas-microsoft-com:office:smarttags" w:element="City">
        <w:r>
          <w:t>WELS</w:t>
        </w:r>
      </w:smartTag>
      <w:r>
        <w:t xml:space="preserve"> cost-effectively contributes to water security across Australian cities and towns. </w:t>
      </w:r>
    </w:p>
    <w:p w:rsidR="00000000" w:rsidRDefault="00D35856">
      <w:pPr>
        <w:keepNext w:val="0"/>
      </w:pPr>
      <w:r>
        <w:t>By ensuring access to information about the water efficienc</w:t>
      </w:r>
      <w:r>
        <w:t xml:space="preserve">y of taps, showers, toilets, urinals, washing machines and dishwashers, </w:t>
      </w:r>
      <w:smartTag w:uri="urn:schemas-microsoft-com:office:smarttags" w:element="City">
        <w:r>
          <w:t>WELS</w:t>
        </w:r>
      </w:smartTag>
      <w:r>
        <w:t xml:space="preserve"> enables consumers to choose their purchases on the basis of water efficiency. This affects the choices made by those residential and non-residential users of water who are</w:t>
      </w:r>
      <w:r>
        <w:t xml:space="preserve"> also motivated by a wide range of other factors to improve water efficiency including the recent education, promotion and awareness campaigns about the drought, water security situations and water efficiency options such as rebates and retrofits. </w:t>
      </w:r>
    </w:p>
    <w:p w:rsidR="00000000" w:rsidRDefault="00D35856">
      <w:pPr>
        <w:keepNext w:val="0"/>
      </w:pPr>
      <w:r>
        <w:t>The key</w:t>
      </w:r>
      <w:r>
        <w:t xml:space="preserve"> findings of this report are:</w:t>
      </w:r>
    </w:p>
    <w:p w:rsidR="00000000" w:rsidRDefault="00D35856">
      <w:pPr>
        <w:keepNext w:val="0"/>
        <w:numPr>
          <w:ilvl w:val="0"/>
          <w:numId w:val="24"/>
        </w:numPr>
        <w:tabs>
          <w:tab w:val="clear" w:pos="1440"/>
          <w:tab w:val="num" w:pos="360"/>
        </w:tabs>
        <w:ind w:left="360"/>
      </w:pPr>
      <w:r>
        <w:t xml:space="preserve">At a unit cost of $0.07/kL, </w:t>
      </w:r>
      <w:smartTag w:uri="urn:schemas-microsoft-com:office:smarttags" w:element="City">
        <w:r>
          <w:t>WELS</w:t>
        </w:r>
      </w:smartTag>
      <w:r>
        <w:t xml:space="preserve"> is the most cost-effective option to achieve water savings. Net costs of the program totalled $27 m (at 7% discount rate) and the water savings from 2005 to 2021 are approximately 800</w:t>
      </w:r>
      <w:r>
        <w:t xml:space="preserve"> GL. </w:t>
      </w:r>
    </w:p>
    <w:p w:rsidR="00000000" w:rsidRDefault="00D35856">
      <w:pPr>
        <w:keepNext w:val="0"/>
        <w:numPr>
          <w:ilvl w:val="0"/>
          <w:numId w:val="24"/>
        </w:numPr>
        <w:tabs>
          <w:tab w:val="clear" w:pos="1440"/>
          <w:tab w:val="num" w:pos="360"/>
        </w:tabs>
        <w:ind w:left="360"/>
      </w:pPr>
      <w:r>
        <w:t>The unit costs of these other water management options ranged from $0.10/kL to $5.50/kL. These water management options include rebates, retrofits, desalination, recycling and new storages. The unit costs of these options were calculated using exam</w:t>
      </w:r>
      <w:r>
        <w:t xml:space="preserve">ples from around the country of both ex-ante assessment and ex-post evaluation of these options. </w:t>
      </w:r>
    </w:p>
    <w:p w:rsidR="00000000" w:rsidRDefault="00D35856">
      <w:pPr>
        <w:keepNext w:val="0"/>
        <w:numPr>
          <w:ilvl w:val="0"/>
          <w:numId w:val="24"/>
        </w:numPr>
        <w:tabs>
          <w:tab w:val="clear" w:pos="1440"/>
          <w:tab w:val="num" w:pos="360"/>
        </w:tabs>
        <w:ind w:left="360"/>
      </w:pPr>
      <w:r>
        <w:t xml:space="preserve">Under a range of scenarios, </w:t>
      </w:r>
      <w:smartTag w:uri="urn:schemas-microsoft-com:office:smarttags" w:element="City">
        <w:r>
          <w:t>WELS</w:t>
        </w:r>
      </w:smartTag>
      <w:r>
        <w:t xml:space="preserve"> is cost effective compared to other water management options, and compared to the current marginal cost of water. A</w:t>
      </w:r>
      <w:r>
        <w:t xml:space="preserve"> sensitivity analysis was conducted on a range of key input parameters, including price premiums, suppliers’ costs, and projections of water and energy prices. The results of the sensitivity analysis showed a range for the cost effectiveness, with an upper</w:t>
      </w:r>
      <w:r>
        <w:t xml:space="preserve"> bound at $0.17/kL, assuming a discount rate of 7%. Varying the discount rate between 1.6% and 10% resulted in a range of unit costs from $0.07/kL to $0.20/kL. </w:t>
      </w:r>
    </w:p>
    <w:p w:rsidR="00000000" w:rsidRDefault="00D35856">
      <w:pPr>
        <w:keepNext w:val="0"/>
        <w:numPr>
          <w:ilvl w:val="0"/>
          <w:numId w:val="24"/>
        </w:numPr>
        <w:tabs>
          <w:tab w:val="clear" w:pos="1440"/>
          <w:tab w:val="num" w:pos="360"/>
        </w:tabs>
        <w:ind w:left="360"/>
      </w:pPr>
      <w:r>
        <w:t xml:space="preserve">The water savings achieved by </w:t>
      </w:r>
      <w:smartTag w:uri="urn:schemas-microsoft-com:office:smarttags" w:element="City">
        <w:r>
          <w:t>WELS</w:t>
        </w:r>
      </w:smartTag>
      <w:r>
        <w:t xml:space="preserve"> are likely to be substantial, totalling approximately </w:t>
      </w:r>
      <w:r>
        <w:t xml:space="preserve">800 GL </w:t>
      </w:r>
      <w:smartTag w:uri="urn:schemas-microsoft-com:office:smarttags" w:element="City">
        <w:r>
          <w:t>Australia</w:t>
        </w:r>
      </w:smartTag>
      <w:r>
        <w:t xml:space="preserve"> wide, between 2005 and 2021. Modelling undertaken in this study indicates very different potential for water saving from different product types. Approximately 36% of all savings derive from showers, and 34% from washing machines. </w:t>
      </w:r>
      <w:r>
        <w:t xml:space="preserve">Toilets and urinals contribute approximately 23% of water savings, and approximately 6% from taps and dishwashers combined. </w:t>
      </w:r>
    </w:p>
    <w:p w:rsidR="00000000" w:rsidRDefault="00D35856">
      <w:pPr>
        <w:keepNext w:val="0"/>
        <w:numPr>
          <w:ilvl w:val="0"/>
          <w:numId w:val="24"/>
        </w:numPr>
        <w:tabs>
          <w:tab w:val="clear" w:pos="1440"/>
          <w:tab w:val="num" w:pos="360"/>
        </w:tabs>
        <w:ind w:left="360"/>
      </w:pPr>
      <w:r>
        <w:t>While on a per house basis the tap savings may be minimal, the large quantity of taps expected to be sold every year (1</w:t>
      </w:r>
      <w:r>
        <w:t> </w:t>
      </w:r>
      <w:r>
        <w:t>000</w:t>
      </w:r>
      <w:r>
        <w:t> </w:t>
      </w:r>
      <w:r>
        <w:t>000 i</w:t>
      </w:r>
      <w:r>
        <w:t>n 2021) mean that overall the savings are non-trivial at 23 GL between 2005 and 2021.  However, without more detailed data from further end-use surveys it is difficult to assess the extent of these savings, because there is a great variability in behaviour</w:t>
      </w:r>
      <w:r>
        <w:t xml:space="preserve"> relating to tap use. </w:t>
      </w:r>
    </w:p>
    <w:p w:rsidR="00000000" w:rsidRDefault="00D35856">
      <w:pPr>
        <w:keepNext w:val="0"/>
        <w:numPr>
          <w:ilvl w:val="0"/>
          <w:numId w:val="24"/>
        </w:numPr>
        <w:tabs>
          <w:tab w:val="clear" w:pos="1440"/>
          <w:tab w:val="num" w:pos="360"/>
        </w:tabs>
        <w:ind w:left="360"/>
      </w:pPr>
      <w:r>
        <w:lastRenderedPageBreak/>
        <w:t xml:space="preserve">Of the key stakeholder groups, consumers are the main beneficiaries of </w:t>
      </w:r>
      <w:smartTag w:uri="urn:schemas-microsoft-com:office:smarttags" w:element="City">
        <w:r>
          <w:t>WELS</w:t>
        </w:r>
      </w:smartTag>
      <w:r>
        <w:t>. The expected water and energy bill savings, even assuming a modest real growth rate of energy and water tariffs of 5%, could yield total bill savi</w:t>
      </w:r>
      <w:r>
        <w:t xml:space="preserve">ngs for customers of around $1 billion NPV to 2020—2021. Suppliers, the stakeholder group bearing the largest proportion of the total cost burden, are estimated to incur costs due to WELS of over $15 million NPV to 2020—2021. The largest component of this </w:t>
      </w:r>
      <w:r>
        <w:t>is labelling costs at around $7 million NPV assuming a discount rate of 7% (directly proportional to expected sales), but a highly uncertain cost component is the magnitude of cost associated with the staff time spent on the registration process.</w:t>
      </w:r>
    </w:p>
    <w:p w:rsidR="00000000" w:rsidRDefault="00D35856">
      <w:pPr>
        <w:keepNext w:val="0"/>
        <w:numPr>
          <w:ilvl w:val="0"/>
          <w:numId w:val="24"/>
        </w:numPr>
        <w:tabs>
          <w:tab w:val="clear" w:pos="1440"/>
          <w:tab w:val="num" w:pos="360"/>
        </w:tabs>
        <w:ind w:left="360"/>
      </w:pPr>
      <w:r>
        <w:t>This st</w:t>
      </w:r>
      <w:r>
        <w:t xml:space="preserve">udy did not find conclusive evidence of that there would be sustained increases in retail prices due to </w:t>
      </w:r>
      <w:smartTag w:uri="urn:schemas-microsoft-com:office:smarttags" w:element="City">
        <w:r>
          <w:t>WELS</w:t>
        </w:r>
      </w:smartTag>
      <w:r>
        <w:t>. The range of price and product attributes available at each star rating appears to be demand-driven, at least for most product types. Ther</w:t>
      </w:r>
      <w:r>
        <w:t>efore, when consumers increased the demand for water-efficient appliances and fittings in response to labelling, rebates, and the drought in general, suppliers have generally responded by expanding product ranges at higher water star ratings - this most li</w:t>
      </w:r>
      <w:r>
        <w:t xml:space="preserve">kely facilitated by factors external to WELS, such as flexibility in and extent of overseas supply chains and manufacturing operations. </w:t>
      </w:r>
    </w:p>
    <w:p w:rsidR="00000000" w:rsidRDefault="00D35856">
      <w:pPr>
        <w:keepNext w:val="0"/>
        <w:numPr>
          <w:ilvl w:val="0"/>
          <w:numId w:val="24"/>
        </w:numPr>
        <w:tabs>
          <w:tab w:val="clear" w:pos="1440"/>
          <w:tab w:val="num" w:pos="360"/>
        </w:tabs>
        <w:ind w:left="360"/>
      </w:pPr>
      <w:r>
        <w:t xml:space="preserve">The sustainability outcomes of </w:t>
      </w:r>
      <w:smartTag w:uri="urn:schemas-microsoft-com:office:smarttags" w:element="City">
        <w:r>
          <w:t>WELS</w:t>
        </w:r>
      </w:smartTag>
      <w:r>
        <w:t xml:space="preserve"> are also significant, in terms of water savings, energy savings, and avoi</w:t>
      </w:r>
      <w:r>
        <w:t xml:space="preserve">ded greenhouse gas emissions. The total greenhouse gas saved by </w:t>
      </w:r>
      <w:smartTag w:uri="urn:schemas-microsoft-com:office:smarttags" w:element="City">
        <w:r>
          <w:t>WELS</w:t>
        </w:r>
      </w:smartTag>
      <w:r>
        <w:t xml:space="preserve"> is approximately 400</w:t>
      </w:r>
      <w:r>
        <w:t> </w:t>
      </w:r>
      <w:r>
        <w:t>000 tonnes/annum averaged over the period 2005—2006 to 2020—2021. This is the equivalent of taking 90</w:t>
      </w:r>
      <w:r>
        <w:t> </w:t>
      </w:r>
      <w:r>
        <w:t xml:space="preserve">000 cars off the road every year. </w:t>
      </w:r>
    </w:p>
    <w:p w:rsidR="00000000" w:rsidRDefault="00D35856">
      <w:pPr>
        <w:keepNext w:val="0"/>
        <w:numPr>
          <w:ilvl w:val="0"/>
          <w:numId w:val="24"/>
        </w:numPr>
        <w:tabs>
          <w:tab w:val="clear" w:pos="1440"/>
          <w:tab w:val="num" w:pos="360"/>
        </w:tabs>
        <w:ind w:left="360"/>
      </w:pPr>
      <w:r>
        <w:t>Depending on the co</w:t>
      </w:r>
      <w:r>
        <w:t>st of carbon, the value of CO2-e emissions avoided, is estimated at between $60 to $300 million NPV. This analysis excludes water, energy or greenhouse impacts associated with the lifecycle of the products, focussing only on the use phase.</w:t>
      </w:r>
    </w:p>
    <w:p w:rsidR="00000000" w:rsidRDefault="00D35856">
      <w:pPr>
        <w:keepNext w:val="0"/>
        <w:numPr>
          <w:ilvl w:val="0"/>
          <w:numId w:val="24"/>
        </w:numPr>
        <w:tabs>
          <w:tab w:val="clear" w:pos="1440"/>
          <w:tab w:val="num" w:pos="360"/>
        </w:tabs>
        <w:ind w:left="360"/>
      </w:pPr>
      <w:r>
        <w:t xml:space="preserve">WELS products </w:t>
      </w:r>
      <w:r>
        <w:t>and end-uses consume energy through the heating of water (excluding toilets) and through the pumping and treatment of water by the utility to and from the location of the end user. Heating of water is the largest component, at over 90% of total energy use.</w:t>
      </w:r>
      <w:r>
        <w:t xml:space="preserve"> The remaining 10% is pumping and treatment of water by the utility. </w:t>
      </w:r>
    </w:p>
    <w:p w:rsidR="00000000" w:rsidRDefault="00D35856">
      <w:pPr>
        <w:pStyle w:val="Heading1A"/>
        <w:rPr>
          <w:color w:val="auto"/>
        </w:rPr>
      </w:pPr>
      <w:r>
        <w:rPr>
          <w:color w:val="auto"/>
        </w:rPr>
        <w:lastRenderedPageBreak/>
        <w:t>References</w:t>
      </w:r>
    </w:p>
    <w:p w:rsidR="00000000" w:rsidRDefault="00D35856">
      <w:pPr>
        <w:keepNext w:val="0"/>
        <w:widowControl w:val="0"/>
      </w:pPr>
      <w:r>
        <w:t>ACIL Tasman (2007) Pricing for water conservation in the non-residential urban sector. Prepared for the Smart Water Fund, commercial-in-confidence, February 2007.</w:t>
      </w:r>
    </w:p>
    <w:p w:rsidR="00000000" w:rsidRDefault="00D35856">
      <w:pPr>
        <w:keepNext w:val="0"/>
        <w:widowControl w:val="0"/>
      </w:pPr>
      <w:r>
        <w:t xml:space="preserve">Ahammad, H., Matysek, A., Fisher, B., Curtotti, R., Gurney, A., Jakeman, G., Heyhoe, E. and Gunasekera, D. (2006) Climate change policy: the role of technology and economic instruments. ABARE research report  06.7, Canberra.  </w:t>
      </w:r>
    </w:p>
    <w:p w:rsidR="00000000" w:rsidRDefault="00D35856">
      <w:pPr>
        <w:keepNext w:val="0"/>
        <w:widowControl w:val="0"/>
      </w:pPr>
      <w:r>
        <w:t>AGO – Australian Greenhouse O</w:t>
      </w:r>
      <w:r>
        <w:t>ffice. (2003) Renewable Opportunities: A review of the Operation of the Renewable Energy (Electricity) Act 2000, Canberra.</w:t>
      </w:r>
    </w:p>
    <w:p w:rsidR="00000000" w:rsidRDefault="00D35856">
      <w:pPr>
        <w:keepNext w:val="0"/>
        <w:widowControl w:val="0"/>
      </w:pPr>
      <w:r>
        <w:t xml:space="preserve">AGO – Australian Greenhouse Office (2005) Grandfathering. Appliances Online, September.  </w:t>
      </w:r>
    </w:p>
    <w:p w:rsidR="00000000" w:rsidRDefault="00D35856">
      <w:pPr>
        <w:pStyle w:val="BodyText"/>
        <w:keepNext w:val="0"/>
      </w:pPr>
      <w:r>
        <w:t>AS/NZS 6400:2005: Water efficient products-</w:t>
      </w:r>
      <w:r>
        <w:t>Rating and Labelling. Standards Australia.</w:t>
      </w:r>
    </w:p>
    <w:p w:rsidR="00000000" w:rsidRDefault="00D35856">
      <w:pPr>
        <w:pStyle w:val="BodyText"/>
        <w:keepNext w:val="0"/>
      </w:pPr>
      <w:r>
        <w:t>Australian Bureau of Statistics (ABS) (2007) Environmental Issues: People’s Views and Practices, 4602.0</w:t>
      </w:r>
    </w:p>
    <w:p w:rsidR="00000000" w:rsidRDefault="00D35856">
      <w:pPr>
        <w:pStyle w:val="BodyText"/>
        <w:keepNext w:val="0"/>
      </w:pPr>
      <w:r>
        <w:t>Australian Bureau of Statistics (ABS) (2005) Environmental Issues: People’s Views and Practices, 4602.0</w:t>
      </w:r>
    </w:p>
    <w:p w:rsidR="00000000" w:rsidRDefault="00D35856">
      <w:pPr>
        <w:pStyle w:val="BodyText"/>
        <w:keepNext w:val="0"/>
      </w:pPr>
      <w:r>
        <w:t>Austr</w:t>
      </w:r>
      <w:r>
        <w:t>alian Bureau of Statistics (ABS) (2005) Population Projections, Australia, 2004 to 2101, 3222.0</w:t>
      </w:r>
    </w:p>
    <w:p w:rsidR="00000000" w:rsidRDefault="00D35856">
      <w:pPr>
        <w:pStyle w:val="BodyText"/>
        <w:keepNext w:val="0"/>
      </w:pPr>
      <w:r>
        <w:t>Baker, R., Barker, A., Johnston, A. and Kohlhaas, M. (2008) The Stern Review: an assessment of its methodology, Productivity Commission Staff Working Paper, Mel</w:t>
      </w:r>
      <w:r>
        <w:t>bourne, January.</w:t>
      </w:r>
    </w:p>
    <w:p w:rsidR="00000000" w:rsidRDefault="00D35856">
      <w:pPr>
        <w:pStyle w:val="BodyText"/>
        <w:keepNext w:val="0"/>
      </w:pPr>
      <w:r>
        <w:t>Chong J., Herriman, J. and White S. (forthcoming). Review of Water Restrictions, report for the National Water Commission, Institute for Sustainable Futures, Sydney.</w:t>
      </w:r>
    </w:p>
    <w:p w:rsidR="00000000" w:rsidRDefault="00D35856">
      <w:pPr>
        <w:keepNext w:val="0"/>
        <w:widowControl w:val="0"/>
      </w:pPr>
      <w:r>
        <w:t>COAG – Council of Australian Governments (2004) Principles and Guidelines</w:t>
      </w:r>
      <w:r>
        <w:t xml:space="preserve"> for National Standard Setting and Regulatory Action by Ministerial Councils and Standard-Setting Bodies.</w:t>
      </w:r>
    </w:p>
    <w:p w:rsidR="00000000" w:rsidRDefault="00D35856">
      <w:pPr>
        <w:keepNext w:val="0"/>
        <w:widowControl w:val="0"/>
      </w:pPr>
      <w:r>
        <w:t>COAG – Council of Australian Governments (2007) Best Practice Regulation Handbook.</w:t>
      </w:r>
    </w:p>
    <w:p w:rsidR="00000000" w:rsidRDefault="00D35856">
      <w:pPr>
        <w:keepNext w:val="0"/>
        <w:widowControl w:val="0"/>
      </w:pPr>
      <w:r>
        <w:t>Dandy G., Nguyen T. and Davies C. (1997) Estimating Residential Wat</w:t>
      </w:r>
      <w:r>
        <w:t>er Demand in the Presence of Free Allowances. Land Economics. 73(1): 125-139.</w:t>
      </w:r>
    </w:p>
    <w:p w:rsidR="00000000" w:rsidRDefault="00D35856">
      <w:pPr>
        <w:keepNext w:val="0"/>
        <w:widowControl w:val="0"/>
      </w:pPr>
      <w:r>
        <w:t>Edwards G  (2006) Whose Values Count? Demand Management for Melbourne’s Water. The Economic Record 82:S54-S53.</w:t>
      </w:r>
    </w:p>
    <w:p w:rsidR="00000000" w:rsidRDefault="00D35856">
      <w:pPr>
        <w:keepNext w:val="0"/>
        <w:widowControl w:val="0"/>
      </w:pPr>
      <w:r>
        <w:t>EES – Energy Efficient Strategies (2008) Analysis of GfK sales data</w:t>
      </w:r>
      <w:r>
        <w:t xml:space="preserve"> for washing machines and dishwashers (unpublished).</w:t>
      </w:r>
    </w:p>
    <w:p w:rsidR="00000000" w:rsidRDefault="00D35856">
      <w:pPr>
        <w:keepNext w:val="0"/>
        <w:widowControl w:val="0"/>
      </w:pPr>
      <w:r>
        <w:t>George Wilkenfeld and Associates (2004) Regulation Impact Statement: Proposed National System of Mandatory Water Efficiency Labelling for Selected Products. Prepared for the Department of the Environment</w:t>
      </w:r>
      <w:r>
        <w:t xml:space="preserve"> and Heritage, Australia.</w:t>
      </w:r>
    </w:p>
    <w:p w:rsidR="00000000" w:rsidRDefault="00D35856">
      <w:pPr>
        <w:keepNext w:val="0"/>
        <w:widowControl w:val="0"/>
      </w:pPr>
      <w:r>
        <w:lastRenderedPageBreak/>
        <w:t>George Wilkenfeld and Associates (2005) Water Saving Requirements for New Residential Buildings in Victoria: Options for flexible compliance. Prepared for the Department of Sustainability and Environment, Australia.</w:t>
      </w:r>
    </w:p>
    <w:p w:rsidR="00000000" w:rsidRDefault="00D35856">
      <w:pPr>
        <w:keepNext w:val="0"/>
        <w:widowControl w:val="0"/>
      </w:pPr>
      <w:r>
        <w:t xml:space="preserve">Grafton R and </w:t>
      </w:r>
      <w:r>
        <w:t>Kompas T (2007) Pricing Sydney Water, Australian Journal of Agricultural and Resource Economics. 51(3):227-241.</w:t>
      </w:r>
    </w:p>
    <w:p w:rsidR="00000000" w:rsidRDefault="00D35856">
      <w:pPr>
        <w:keepNext w:val="0"/>
        <w:widowControl w:val="0"/>
      </w:pPr>
      <w:r>
        <w:t>Grubb M., Neuhoff K. (2006) Allocation and competitiveness in the EU emissions trading scheme: policy overview. Climate Policy 6:7-30.</w:t>
      </w:r>
    </w:p>
    <w:p w:rsidR="00000000" w:rsidRDefault="00D35856">
      <w:pPr>
        <w:keepNext w:val="0"/>
        <w:widowControl w:val="0"/>
      </w:pPr>
      <w:r>
        <w:t>Hoffman M</w:t>
      </w:r>
      <w:r>
        <w:t>., Worthington A., and Higgs H. (2006) Urban water demand with fixed volumetric charging in a large municipality: the case of Brisbane, Australia. The Australian Journal of Agricultural and Resource Economics. 50:347-359.</w:t>
      </w:r>
    </w:p>
    <w:p w:rsidR="00000000" w:rsidRDefault="00D35856">
      <w:pPr>
        <w:keepNext w:val="0"/>
        <w:widowControl w:val="0"/>
      </w:pPr>
      <w:r>
        <w:t>Hoffman M, and Worthington A. (for</w:t>
      </w:r>
      <w:r>
        <w:t>thcoming) An empirical survey of residential water demand modelling. Journal of Economic Surveys.</w:t>
      </w:r>
    </w:p>
    <w:p w:rsidR="00000000" w:rsidRDefault="00D35856">
      <w:pPr>
        <w:keepNext w:val="0"/>
        <w:widowControl w:val="0"/>
      </w:pPr>
      <w:r>
        <w:t>KPMG (2004) Pricing for Demand Management – Sydney. Report for the Water Services Association of Australia, April 2004.</w:t>
      </w:r>
    </w:p>
    <w:p w:rsidR="00000000" w:rsidRDefault="00D35856">
      <w:pPr>
        <w:keepNext w:val="0"/>
        <w:widowControl w:val="0"/>
      </w:pPr>
      <w:r>
        <w:t>Ministry of Consumer Affairs (2007) Pr</w:t>
      </w:r>
      <w:r>
        <w:t xml:space="preserve">oposed implementation of mandatory water efficiency labelling, Discussion document for consultation under the Fair Trading Act 1986, New Zealand Government, Wellington. </w:t>
      </w:r>
    </w:p>
    <w:p w:rsidR="00000000" w:rsidRDefault="00D35856">
      <w:pPr>
        <w:keepNext w:val="0"/>
        <w:widowControl w:val="0"/>
      </w:pPr>
      <w:r>
        <w:t xml:space="preserve">Mitchell, C., Fane, S., Willetts, J., Plant, R., and Kazaglis, A., (2007) Costing for </w:t>
      </w:r>
      <w:r>
        <w:t>Sustainable Outcomes in Urban Water Systems: A guidebook. Prepared by the Institute for Sustainable Futures, UTS for the Cooperative Research Centre for Water Quality and Treatment.</w:t>
      </w:r>
    </w:p>
    <w:p w:rsidR="00000000" w:rsidRDefault="00D35856">
      <w:pPr>
        <w:keepNext w:val="0"/>
        <w:widowControl w:val="0"/>
      </w:pPr>
      <w:r>
        <w:t>NWC and WSAA – National Water Commission and the Water Services Associatio</w:t>
      </w:r>
      <w:r>
        <w:t>n of Australia (2007) National Performance Report 2005-06: Major Urban Water Utilities.</w:t>
      </w:r>
    </w:p>
    <w:p w:rsidR="00000000" w:rsidRDefault="00D35856">
      <w:pPr>
        <w:keepNext w:val="0"/>
        <w:widowControl w:val="0"/>
      </w:pPr>
      <w:r>
        <w:t>OBPR – Office of Best Practice Regulation (2007) Best Practice Regulation Handbook, August 2007, Australian Government, Canberra.</w:t>
      </w:r>
    </w:p>
    <w:p w:rsidR="00000000" w:rsidRDefault="00D35856">
      <w:pPr>
        <w:keepNext w:val="0"/>
        <w:widowControl w:val="0"/>
      </w:pPr>
      <w:r>
        <w:t>Plant, R., Herriman, J. and Chong, J. (forthcoming). Toolbox for valuing environmental externalities. CD-Rom for the Victorian Smart Water Fund, Institute for Sustainable Futures, Sydney.</w:t>
      </w:r>
    </w:p>
    <w:p w:rsidR="00000000" w:rsidRDefault="00D35856">
      <w:pPr>
        <w:keepNext w:val="0"/>
        <w:widowControl w:val="0"/>
      </w:pPr>
      <w:r>
        <w:t>Quiggen, J. (2006) Stern and the critics on discounting, December. h</w:t>
      </w:r>
      <w:r>
        <w:t>ttps://www.uq.edu.au/economics/johnquiggen.</w:t>
      </w:r>
    </w:p>
    <w:p w:rsidR="00000000" w:rsidRDefault="00D35856">
      <w:pPr>
        <w:keepNext w:val="0"/>
        <w:widowControl w:val="0"/>
      </w:pPr>
      <w:r>
        <w:t>Roberts, P. (2005) Residential End Use Measurement Study. Yarra Valley Water.</w:t>
      </w:r>
    </w:p>
    <w:p w:rsidR="00000000" w:rsidRDefault="00D35856">
      <w:pPr>
        <w:keepNext w:val="0"/>
        <w:widowControl w:val="0"/>
      </w:pPr>
      <w:r>
        <w:t>Roberts, P. (2004) Appliance Stock and Usage Patterns Survey. Yarra Valley Water.</w:t>
      </w:r>
    </w:p>
    <w:p w:rsidR="00000000" w:rsidRDefault="00D35856">
      <w:pPr>
        <w:keepNext w:val="0"/>
        <w:widowControl w:val="0"/>
        <w:rPr>
          <w:rFonts w:ascii="Times New Roman" w:hAnsi="Times New Roman"/>
          <w:sz w:val="24"/>
          <w:lang w:eastAsia="en-AU"/>
        </w:rPr>
      </w:pPr>
      <w:r>
        <w:t xml:space="preserve">Schlunke, A. Lewis J. &amp; Fane, S, (2008) Analysis of </w:t>
      </w:r>
      <w:r>
        <w:t>Australian opportunities for more efficient toilets, [prepared for the Australian Government Department of the Environment, Water, Heritage and the Arts], Institute for Sustainable Futures, University of Technology, Sydney, February.</w:t>
      </w:r>
    </w:p>
    <w:p w:rsidR="00000000" w:rsidRDefault="00D35856">
      <w:pPr>
        <w:keepNext w:val="0"/>
        <w:spacing w:after="0"/>
      </w:pPr>
      <w:r>
        <w:lastRenderedPageBreak/>
        <w:t>Sydney Water (2006) Ab</w:t>
      </w:r>
      <w:r>
        <w:t>out the NSW Greenhouse Gas Abatement Scheme and NSW Greenhouse Abatement Certificates. www.sydneywater.com.au/Publications/ _download.cfm?DownloadFile=FactSheets/NGAC.pdf. (accessed 13 January 2007).</w:t>
      </w:r>
    </w:p>
    <w:p w:rsidR="00000000" w:rsidRDefault="00D35856">
      <w:pPr>
        <w:keepNext w:val="0"/>
        <w:spacing w:after="0"/>
        <w:jc w:val="left"/>
      </w:pPr>
    </w:p>
    <w:p w:rsidR="00000000" w:rsidRDefault="00D35856">
      <w:pPr>
        <w:keepNext w:val="0"/>
        <w:spacing w:after="0"/>
      </w:pPr>
      <w:r>
        <w:t>Turner, A.J., Hausler, G., Carrard, N., Kazaglis, A., W</w:t>
      </w:r>
      <w:r>
        <w:t>hite, S., Hughes, A., Johnson, T. (2007) Review of Water Supply Demand Options for South East Queensland, Institute for Sustainable Futures, Sydney .</w:t>
      </w:r>
    </w:p>
    <w:p w:rsidR="00000000" w:rsidRDefault="00D35856">
      <w:pPr>
        <w:keepNext w:val="0"/>
        <w:spacing w:after="0"/>
      </w:pPr>
    </w:p>
    <w:p w:rsidR="00000000" w:rsidRDefault="00D35856">
      <w:pPr>
        <w:keepNext w:val="0"/>
        <w:widowControl w:val="0"/>
      </w:pPr>
      <w:r>
        <w:t>VCEC – Victorian Competition and Efficiency Commission (2007). Guidance Note on Discounting, Melbourne.</w:t>
      </w:r>
    </w:p>
    <w:p w:rsidR="00000000" w:rsidRDefault="00D35856">
      <w:pPr>
        <w:keepNext w:val="0"/>
        <w:widowControl w:val="0"/>
      </w:pPr>
      <w:r>
        <w:t>W</w:t>
      </w:r>
      <w:r>
        <w:t>SAA - Water Services Association of Australia (2004) WSAA Facts.</w:t>
      </w:r>
    </w:p>
    <w:p w:rsidR="00000000" w:rsidRDefault="00D35856">
      <w:pPr>
        <w:keepNext w:val="0"/>
        <w:widowControl w:val="0"/>
      </w:pPr>
      <w:r>
        <w:t>WELS Regulator (2008). The Water Efficiency Labelling and Standards Scheme. www. waterrating.gov.au (accessed 13 January 2007).</w:t>
      </w:r>
    </w:p>
    <w:p w:rsidR="00000000" w:rsidRDefault="00D35856">
      <w:pPr>
        <w:keepNext w:val="0"/>
        <w:widowControl w:val="0"/>
      </w:pPr>
      <w:r>
        <w:t>White, S., Campbell, D., Giurco, D., Snelling, C., Kazaglis, A.</w:t>
      </w:r>
      <w:r>
        <w:t xml:space="preserve"> &amp; Fane, S.A. (2006), Review of the Metropolitan Water Plan: Final Report, [prepared for NSW Cabinet Office], Institute for Sustainable Futures, UTS, Australia, pp. 1 -94.</w:t>
      </w:r>
    </w:p>
    <w:p w:rsidR="00000000" w:rsidRDefault="00D35856">
      <w:pPr>
        <w:pStyle w:val="Heading1A"/>
        <w:rPr>
          <w:color w:val="auto"/>
        </w:rPr>
      </w:pPr>
      <w:r>
        <w:rPr>
          <w:color w:val="auto"/>
        </w:rPr>
        <w:lastRenderedPageBreak/>
        <w:t>Appendix A – Organisations contacted</w:t>
      </w:r>
    </w:p>
    <w:p w:rsidR="00000000" w:rsidRDefault="00D35856">
      <w:pPr>
        <w:keepNext w:val="0"/>
      </w:pPr>
    </w:p>
    <w:tbl>
      <w:tblPr>
        <w:tblW w:w="0" w:type="auto"/>
        <w:tblInd w:w="108" w:type="dxa"/>
        <w:tblLook w:val="0000"/>
      </w:tblPr>
      <w:tblGrid>
        <w:gridCol w:w="2427"/>
        <w:gridCol w:w="6078"/>
      </w:tblGrid>
      <w:tr w:rsidR="00000000">
        <w:tblPrEx>
          <w:tblCellMar>
            <w:top w:w="0" w:type="dxa"/>
            <w:bottom w:w="0" w:type="dxa"/>
          </w:tblCellMar>
        </w:tblPrEx>
        <w:tc>
          <w:tcPr>
            <w:tcW w:w="2427" w:type="dxa"/>
            <w:tcBorders>
              <w:top w:val="single" w:sz="4" w:space="0" w:color="auto"/>
              <w:left w:val="single" w:sz="4" w:space="0" w:color="auto"/>
              <w:bottom w:val="single" w:sz="4" w:space="0" w:color="808080"/>
            </w:tcBorders>
            <w:shd w:val="clear" w:color="auto" w:fill="C0C0C0"/>
          </w:tcPr>
          <w:p w:rsidR="00000000" w:rsidRDefault="00D35856">
            <w:pPr>
              <w:keepNext w:val="0"/>
              <w:spacing w:after="0"/>
              <w:rPr>
                <w:rFonts w:ascii="Arial" w:hAnsi="Arial"/>
                <w:b/>
                <w:sz w:val="20"/>
              </w:rPr>
            </w:pPr>
          </w:p>
        </w:tc>
        <w:tc>
          <w:tcPr>
            <w:tcW w:w="6078" w:type="dxa"/>
            <w:tcBorders>
              <w:top w:val="single" w:sz="4" w:space="0" w:color="auto"/>
              <w:bottom w:val="single" w:sz="4" w:space="0" w:color="808080"/>
              <w:right w:val="single" w:sz="4" w:space="0" w:color="auto"/>
            </w:tcBorders>
            <w:shd w:val="clear" w:color="auto" w:fill="C0C0C0"/>
          </w:tcPr>
          <w:p w:rsidR="00000000" w:rsidRDefault="00D35856">
            <w:pPr>
              <w:keepNext w:val="0"/>
              <w:spacing w:after="0"/>
              <w:rPr>
                <w:b/>
                <w:sz w:val="20"/>
              </w:rPr>
            </w:pPr>
            <w:r>
              <w:rPr>
                <w:rFonts w:ascii="Arial" w:hAnsi="Arial"/>
                <w:b/>
                <w:sz w:val="20"/>
              </w:rPr>
              <w:t>Organisation</w:t>
            </w:r>
          </w:p>
        </w:tc>
      </w:tr>
      <w:tr w:rsidR="00000000">
        <w:tblPrEx>
          <w:tblCellMar>
            <w:top w:w="0" w:type="dxa"/>
            <w:bottom w:w="0" w:type="dxa"/>
          </w:tblCellMar>
        </w:tblPrEx>
        <w:tc>
          <w:tcPr>
            <w:tcW w:w="2427" w:type="dxa"/>
            <w:tcBorders>
              <w:top w:val="single" w:sz="4" w:space="0" w:color="808080"/>
              <w:left w:val="single" w:sz="4" w:space="0" w:color="auto"/>
            </w:tcBorders>
          </w:tcPr>
          <w:p w:rsidR="00000000" w:rsidRDefault="00D35856">
            <w:pPr>
              <w:keepNext w:val="0"/>
              <w:spacing w:after="0"/>
              <w:rPr>
                <w:i/>
                <w:sz w:val="20"/>
              </w:rPr>
            </w:pPr>
            <w:r>
              <w:rPr>
                <w:i/>
                <w:sz w:val="20"/>
              </w:rPr>
              <w:t>Government agencies and consultants</w:t>
            </w:r>
          </w:p>
        </w:tc>
        <w:tc>
          <w:tcPr>
            <w:tcW w:w="6078" w:type="dxa"/>
            <w:tcBorders>
              <w:top w:val="single" w:sz="4" w:space="0" w:color="808080"/>
              <w:bottom w:val="single" w:sz="4" w:space="0" w:color="808080"/>
              <w:right w:val="single" w:sz="4" w:space="0" w:color="auto"/>
            </w:tcBorders>
          </w:tcPr>
          <w:p w:rsidR="00000000" w:rsidRDefault="00D35856">
            <w:pPr>
              <w:keepNext w:val="0"/>
              <w:spacing w:after="0"/>
              <w:jc w:val="left"/>
              <w:rPr>
                <w:sz w:val="20"/>
              </w:rPr>
            </w:pPr>
            <w:r>
              <w:rPr>
                <w:sz w:val="20"/>
              </w:rPr>
              <w:t xml:space="preserve">Australian Government </w:t>
            </w:r>
          </w:p>
          <w:p w:rsidR="00000000" w:rsidRDefault="00D35856">
            <w:pPr>
              <w:keepNext w:val="0"/>
              <w:spacing w:after="0"/>
              <w:jc w:val="left"/>
              <w:rPr>
                <w:sz w:val="20"/>
              </w:rPr>
            </w:pPr>
            <w:r>
              <w:rPr>
                <w:sz w:val="20"/>
              </w:rPr>
              <w:t>Department of the Environment, Water, Heritage and the Arts</w:t>
            </w:r>
          </w:p>
        </w:tc>
      </w:tr>
      <w:tr w:rsidR="00000000">
        <w:tblPrEx>
          <w:tblCellMar>
            <w:top w:w="0" w:type="dxa"/>
            <w:bottom w:w="0" w:type="dxa"/>
          </w:tblCellMar>
        </w:tblPrEx>
        <w:tc>
          <w:tcPr>
            <w:tcW w:w="2427" w:type="dxa"/>
            <w:tcBorders>
              <w:left w:val="single" w:sz="4" w:space="0" w:color="auto"/>
            </w:tcBorders>
          </w:tcPr>
          <w:p w:rsidR="00000000" w:rsidRDefault="00D35856">
            <w:pPr>
              <w:keepNext w:val="0"/>
              <w:spacing w:after="0"/>
              <w:rPr>
                <w:i/>
                <w:sz w:val="20"/>
              </w:rPr>
            </w:pPr>
          </w:p>
        </w:tc>
        <w:tc>
          <w:tcPr>
            <w:tcW w:w="6078" w:type="dxa"/>
            <w:tcBorders>
              <w:top w:val="single" w:sz="4" w:space="0" w:color="808080"/>
              <w:bottom w:val="single" w:sz="4" w:space="0" w:color="808080"/>
              <w:right w:val="single" w:sz="4" w:space="0" w:color="auto"/>
            </w:tcBorders>
          </w:tcPr>
          <w:p w:rsidR="00000000" w:rsidRDefault="00D35856">
            <w:pPr>
              <w:keepNext w:val="0"/>
              <w:spacing w:after="0"/>
              <w:jc w:val="left"/>
              <w:rPr>
                <w:sz w:val="20"/>
              </w:rPr>
            </w:pPr>
            <w:r>
              <w:rPr>
                <w:sz w:val="20"/>
              </w:rPr>
              <w:t>Energy Efficient Strategies</w:t>
            </w:r>
          </w:p>
        </w:tc>
      </w:tr>
      <w:tr w:rsidR="00000000">
        <w:tblPrEx>
          <w:tblCellMar>
            <w:top w:w="0" w:type="dxa"/>
            <w:bottom w:w="0" w:type="dxa"/>
          </w:tblCellMar>
        </w:tblPrEx>
        <w:tc>
          <w:tcPr>
            <w:tcW w:w="2427" w:type="dxa"/>
            <w:tcBorders>
              <w:left w:val="single" w:sz="4" w:space="0" w:color="auto"/>
            </w:tcBorders>
          </w:tcPr>
          <w:p w:rsidR="00000000" w:rsidRDefault="00D35856">
            <w:pPr>
              <w:keepNext w:val="0"/>
              <w:spacing w:after="0"/>
              <w:rPr>
                <w:i/>
                <w:sz w:val="20"/>
              </w:rPr>
            </w:pPr>
          </w:p>
        </w:tc>
        <w:tc>
          <w:tcPr>
            <w:tcW w:w="6078" w:type="dxa"/>
            <w:tcBorders>
              <w:top w:val="single" w:sz="4" w:space="0" w:color="808080"/>
              <w:bottom w:val="single" w:sz="4" w:space="0" w:color="808080"/>
              <w:right w:val="single" w:sz="4" w:space="0" w:color="auto"/>
            </w:tcBorders>
          </w:tcPr>
          <w:p w:rsidR="00000000" w:rsidRDefault="00D35856">
            <w:pPr>
              <w:keepNext w:val="0"/>
              <w:spacing w:after="0"/>
              <w:jc w:val="left"/>
              <w:rPr>
                <w:sz w:val="20"/>
              </w:rPr>
            </w:pPr>
            <w:r>
              <w:rPr>
                <w:sz w:val="20"/>
              </w:rPr>
              <w:t>Hobart City Council</w:t>
            </w:r>
          </w:p>
        </w:tc>
      </w:tr>
      <w:tr w:rsidR="00000000">
        <w:tblPrEx>
          <w:tblCellMar>
            <w:top w:w="0" w:type="dxa"/>
            <w:bottom w:w="0" w:type="dxa"/>
          </w:tblCellMar>
        </w:tblPrEx>
        <w:tc>
          <w:tcPr>
            <w:tcW w:w="2427" w:type="dxa"/>
            <w:tcBorders>
              <w:left w:val="single" w:sz="4" w:space="0" w:color="auto"/>
              <w:bottom w:val="single" w:sz="4" w:space="0" w:color="808080"/>
            </w:tcBorders>
          </w:tcPr>
          <w:p w:rsidR="00000000" w:rsidRDefault="00D35856">
            <w:pPr>
              <w:keepNext w:val="0"/>
              <w:spacing w:after="0"/>
              <w:rPr>
                <w:i/>
                <w:sz w:val="20"/>
              </w:rPr>
            </w:pPr>
          </w:p>
        </w:tc>
        <w:tc>
          <w:tcPr>
            <w:tcW w:w="6078" w:type="dxa"/>
            <w:tcBorders>
              <w:top w:val="single" w:sz="4" w:space="0" w:color="808080"/>
              <w:bottom w:val="single" w:sz="4" w:space="0" w:color="808080"/>
              <w:right w:val="single" w:sz="4" w:space="0" w:color="auto"/>
            </w:tcBorders>
          </w:tcPr>
          <w:p w:rsidR="00000000" w:rsidRDefault="00D35856">
            <w:pPr>
              <w:keepNext w:val="0"/>
              <w:spacing w:after="0"/>
              <w:jc w:val="left"/>
              <w:rPr>
                <w:sz w:val="20"/>
              </w:rPr>
            </w:pPr>
            <w:r>
              <w:rPr>
                <w:sz w:val="20"/>
              </w:rPr>
              <w:t xml:space="preserve">Department of Natural Resources and Water, Qld </w:t>
            </w:r>
          </w:p>
        </w:tc>
      </w:tr>
      <w:tr w:rsidR="00000000">
        <w:tblPrEx>
          <w:tblCellMar>
            <w:top w:w="0" w:type="dxa"/>
            <w:bottom w:w="0" w:type="dxa"/>
          </w:tblCellMar>
        </w:tblPrEx>
        <w:tc>
          <w:tcPr>
            <w:tcW w:w="2427" w:type="dxa"/>
            <w:vMerge w:val="restart"/>
            <w:tcBorders>
              <w:top w:val="single" w:sz="4" w:space="0" w:color="808080"/>
              <w:left w:val="single" w:sz="4" w:space="0" w:color="auto"/>
            </w:tcBorders>
          </w:tcPr>
          <w:p w:rsidR="00000000" w:rsidRDefault="00D35856">
            <w:pPr>
              <w:keepNext w:val="0"/>
              <w:spacing w:after="0"/>
              <w:rPr>
                <w:i/>
                <w:sz w:val="20"/>
              </w:rPr>
            </w:pPr>
            <w:r>
              <w:rPr>
                <w:i/>
                <w:sz w:val="20"/>
              </w:rPr>
              <w:t>Manufacturers, importers and supplier associations</w:t>
            </w:r>
          </w:p>
        </w:tc>
        <w:tc>
          <w:tcPr>
            <w:tcW w:w="6078" w:type="dxa"/>
            <w:tcBorders>
              <w:top w:val="single" w:sz="4" w:space="0" w:color="808080"/>
              <w:bottom w:val="single" w:sz="4" w:space="0" w:color="808080"/>
              <w:right w:val="single" w:sz="4" w:space="0" w:color="auto"/>
            </w:tcBorders>
          </w:tcPr>
          <w:p w:rsidR="00000000" w:rsidRDefault="00D35856">
            <w:pPr>
              <w:keepNext w:val="0"/>
              <w:spacing w:after="0"/>
              <w:jc w:val="left"/>
              <w:rPr>
                <w:sz w:val="20"/>
              </w:rPr>
            </w:pPr>
            <w:r>
              <w:rPr>
                <w:sz w:val="20"/>
              </w:rPr>
              <w:t xml:space="preserve">CESA </w:t>
            </w:r>
          </w:p>
        </w:tc>
      </w:tr>
      <w:tr w:rsidR="00000000">
        <w:tblPrEx>
          <w:tblCellMar>
            <w:top w:w="0" w:type="dxa"/>
            <w:bottom w:w="0" w:type="dxa"/>
          </w:tblCellMar>
        </w:tblPrEx>
        <w:tc>
          <w:tcPr>
            <w:tcW w:w="2427" w:type="dxa"/>
            <w:vMerge/>
            <w:tcBorders>
              <w:left w:val="single" w:sz="4" w:space="0" w:color="auto"/>
            </w:tcBorders>
          </w:tcPr>
          <w:p w:rsidR="00000000" w:rsidRDefault="00D35856">
            <w:pPr>
              <w:keepNext w:val="0"/>
              <w:spacing w:after="0"/>
              <w:rPr>
                <w:i/>
                <w:sz w:val="20"/>
              </w:rPr>
            </w:pPr>
          </w:p>
        </w:tc>
        <w:tc>
          <w:tcPr>
            <w:tcW w:w="6078" w:type="dxa"/>
            <w:tcBorders>
              <w:top w:val="single" w:sz="4" w:space="0" w:color="808080"/>
              <w:bottom w:val="single" w:sz="4" w:space="0" w:color="808080"/>
              <w:right w:val="single" w:sz="4" w:space="0" w:color="auto"/>
            </w:tcBorders>
          </w:tcPr>
          <w:p w:rsidR="00000000" w:rsidRDefault="00D35856">
            <w:pPr>
              <w:keepNext w:val="0"/>
              <w:spacing w:after="0"/>
              <w:jc w:val="left"/>
              <w:rPr>
                <w:sz w:val="20"/>
              </w:rPr>
            </w:pPr>
            <w:r>
              <w:rPr>
                <w:sz w:val="20"/>
              </w:rPr>
              <w:t>PPI – Plumbing Products Industry</w:t>
            </w:r>
          </w:p>
        </w:tc>
      </w:tr>
      <w:tr w:rsidR="00000000">
        <w:tblPrEx>
          <w:tblCellMar>
            <w:top w:w="0" w:type="dxa"/>
            <w:bottom w:w="0" w:type="dxa"/>
          </w:tblCellMar>
        </w:tblPrEx>
        <w:tc>
          <w:tcPr>
            <w:tcW w:w="2427" w:type="dxa"/>
            <w:tcBorders>
              <w:left w:val="single" w:sz="4" w:space="0" w:color="auto"/>
            </w:tcBorders>
          </w:tcPr>
          <w:p w:rsidR="00000000" w:rsidRDefault="00D35856">
            <w:pPr>
              <w:keepNext w:val="0"/>
              <w:spacing w:after="0"/>
              <w:rPr>
                <w:i/>
                <w:sz w:val="20"/>
              </w:rPr>
            </w:pPr>
          </w:p>
        </w:tc>
        <w:tc>
          <w:tcPr>
            <w:tcW w:w="6078" w:type="dxa"/>
            <w:tcBorders>
              <w:top w:val="single" w:sz="4" w:space="0" w:color="808080"/>
              <w:bottom w:val="single" w:sz="4" w:space="0" w:color="808080"/>
              <w:right w:val="single" w:sz="4" w:space="0" w:color="auto"/>
            </w:tcBorders>
          </w:tcPr>
          <w:p w:rsidR="00000000" w:rsidRDefault="00D35856">
            <w:pPr>
              <w:keepNext w:val="0"/>
              <w:spacing w:after="0"/>
              <w:jc w:val="left"/>
              <w:rPr>
                <w:sz w:val="20"/>
              </w:rPr>
            </w:pPr>
            <w:r>
              <w:rPr>
                <w:sz w:val="20"/>
              </w:rPr>
              <w:t>GWACaroma</w:t>
            </w:r>
          </w:p>
        </w:tc>
      </w:tr>
      <w:tr w:rsidR="00000000">
        <w:tblPrEx>
          <w:tblCellMar>
            <w:top w:w="0" w:type="dxa"/>
            <w:bottom w:w="0" w:type="dxa"/>
          </w:tblCellMar>
        </w:tblPrEx>
        <w:tc>
          <w:tcPr>
            <w:tcW w:w="2427" w:type="dxa"/>
            <w:tcBorders>
              <w:left w:val="single" w:sz="4" w:space="0" w:color="auto"/>
            </w:tcBorders>
          </w:tcPr>
          <w:p w:rsidR="00000000" w:rsidRDefault="00D35856">
            <w:pPr>
              <w:keepNext w:val="0"/>
              <w:spacing w:after="0"/>
              <w:rPr>
                <w:i/>
                <w:sz w:val="20"/>
              </w:rPr>
            </w:pPr>
          </w:p>
        </w:tc>
        <w:tc>
          <w:tcPr>
            <w:tcW w:w="6078" w:type="dxa"/>
            <w:tcBorders>
              <w:top w:val="single" w:sz="4" w:space="0" w:color="808080"/>
              <w:bottom w:val="single" w:sz="4" w:space="0" w:color="808080"/>
              <w:right w:val="single" w:sz="4" w:space="0" w:color="auto"/>
            </w:tcBorders>
          </w:tcPr>
          <w:p w:rsidR="00000000" w:rsidRDefault="00D35856">
            <w:pPr>
              <w:keepNext w:val="0"/>
              <w:spacing w:after="0"/>
              <w:jc w:val="left"/>
              <w:rPr>
                <w:sz w:val="20"/>
              </w:rPr>
            </w:pPr>
            <w:r>
              <w:rPr>
                <w:sz w:val="20"/>
              </w:rPr>
              <w:t>Argent Australia</w:t>
            </w:r>
          </w:p>
        </w:tc>
      </w:tr>
      <w:tr w:rsidR="00000000">
        <w:tblPrEx>
          <w:tblCellMar>
            <w:top w:w="0" w:type="dxa"/>
            <w:bottom w:w="0" w:type="dxa"/>
          </w:tblCellMar>
        </w:tblPrEx>
        <w:tc>
          <w:tcPr>
            <w:tcW w:w="2427" w:type="dxa"/>
            <w:tcBorders>
              <w:left w:val="single" w:sz="4" w:space="0" w:color="auto"/>
            </w:tcBorders>
          </w:tcPr>
          <w:p w:rsidR="00000000" w:rsidRDefault="00D35856">
            <w:pPr>
              <w:keepNext w:val="0"/>
              <w:spacing w:after="0"/>
              <w:rPr>
                <w:i/>
                <w:sz w:val="20"/>
              </w:rPr>
            </w:pPr>
          </w:p>
        </w:tc>
        <w:tc>
          <w:tcPr>
            <w:tcW w:w="6078" w:type="dxa"/>
            <w:tcBorders>
              <w:top w:val="single" w:sz="4" w:space="0" w:color="808080"/>
              <w:bottom w:val="single" w:sz="4" w:space="0" w:color="808080"/>
              <w:right w:val="single" w:sz="4" w:space="0" w:color="auto"/>
            </w:tcBorders>
          </w:tcPr>
          <w:p w:rsidR="00000000" w:rsidRDefault="00D35856">
            <w:pPr>
              <w:keepNext w:val="0"/>
              <w:spacing w:after="0"/>
              <w:jc w:val="left"/>
              <w:rPr>
                <w:sz w:val="20"/>
              </w:rPr>
            </w:pPr>
            <w:r>
              <w:rPr>
                <w:sz w:val="20"/>
              </w:rPr>
              <w:t>Electrolux</w:t>
            </w:r>
          </w:p>
        </w:tc>
      </w:tr>
      <w:tr w:rsidR="00000000">
        <w:tblPrEx>
          <w:tblCellMar>
            <w:top w:w="0" w:type="dxa"/>
            <w:bottom w:w="0" w:type="dxa"/>
          </w:tblCellMar>
        </w:tblPrEx>
        <w:tc>
          <w:tcPr>
            <w:tcW w:w="2427" w:type="dxa"/>
            <w:tcBorders>
              <w:left w:val="single" w:sz="4" w:space="0" w:color="auto"/>
            </w:tcBorders>
          </w:tcPr>
          <w:p w:rsidR="00000000" w:rsidRDefault="00D35856">
            <w:pPr>
              <w:keepNext w:val="0"/>
              <w:spacing w:after="0"/>
              <w:rPr>
                <w:i/>
                <w:sz w:val="20"/>
              </w:rPr>
            </w:pPr>
          </w:p>
        </w:tc>
        <w:tc>
          <w:tcPr>
            <w:tcW w:w="6078" w:type="dxa"/>
            <w:tcBorders>
              <w:top w:val="single" w:sz="4" w:space="0" w:color="808080"/>
              <w:bottom w:val="single" w:sz="4" w:space="0" w:color="808080"/>
              <w:right w:val="single" w:sz="4" w:space="0" w:color="auto"/>
            </w:tcBorders>
          </w:tcPr>
          <w:p w:rsidR="00000000" w:rsidRDefault="00D35856">
            <w:pPr>
              <w:keepNext w:val="0"/>
              <w:spacing w:after="0"/>
              <w:jc w:val="left"/>
              <w:rPr>
                <w:sz w:val="20"/>
              </w:rPr>
            </w:pPr>
            <w:r>
              <w:rPr>
                <w:sz w:val="20"/>
              </w:rPr>
              <w:t>Fisher &amp; Paykal</w:t>
            </w:r>
          </w:p>
        </w:tc>
      </w:tr>
      <w:tr w:rsidR="00000000">
        <w:tblPrEx>
          <w:tblCellMar>
            <w:top w:w="0" w:type="dxa"/>
            <w:bottom w:w="0" w:type="dxa"/>
          </w:tblCellMar>
        </w:tblPrEx>
        <w:tc>
          <w:tcPr>
            <w:tcW w:w="2427" w:type="dxa"/>
            <w:tcBorders>
              <w:left w:val="single" w:sz="4" w:space="0" w:color="auto"/>
            </w:tcBorders>
          </w:tcPr>
          <w:p w:rsidR="00000000" w:rsidRDefault="00D35856">
            <w:pPr>
              <w:keepNext w:val="0"/>
              <w:spacing w:after="0"/>
              <w:rPr>
                <w:i/>
                <w:sz w:val="20"/>
              </w:rPr>
            </w:pPr>
          </w:p>
        </w:tc>
        <w:tc>
          <w:tcPr>
            <w:tcW w:w="6078" w:type="dxa"/>
            <w:tcBorders>
              <w:top w:val="single" w:sz="4" w:space="0" w:color="808080"/>
              <w:bottom w:val="single" w:sz="4" w:space="0" w:color="808080"/>
              <w:right w:val="single" w:sz="4" w:space="0" w:color="auto"/>
            </w:tcBorders>
          </w:tcPr>
          <w:p w:rsidR="00000000" w:rsidRDefault="00D35856">
            <w:pPr>
              <w:keepNext w:val="0"/>
              <w:spacing w:after="0"/>
              <w:jc w:val="left"/>
              <w:rPr>
                <w:sz w:val="20"/>
              </w:rPr>
            </w:pPr>
            <w:r>
              <w:rPr>
                <w:sz w:val="20"/>
              </w:rPr>
              <w:t>Bridge Castings</w:t>
            </w:r>
          </w:p>
        </w:tc>
      </w:tr>
      <w:tr w:rsidR="00000000">
        <w:tblPrEx>
          <w:tblCellMar>
            <w:top w:w="0" w:type="dxa"/>
            <w:bottom w:w="0" w:type="dxa"/>
          </w:tblCellMar>
        </w:tblPrEx>
        <w:tc>
          <w:tcPr>
            <w:tcW w:w="2427" w:type="dxa"/>
            <w:tcBorders>
              <w:left w:val="single" w:sz="4" w:space="0" w:color="auto"/>
            </w:tcBorders>
          </w:tcPr>
          <w:p w:rsidR="00000000" w:rsidRDefault="00D35856">
            <w:pPr>
              <w:keepNext w:val="0"/>
              <w:spacing w:after="0"/>
              <w:rPr>
                <w:i/>
                <w:sz w:val="20"/>
              </w:rPr>
            </w:pPr>
          </w:p>
        </w:tc>
        <w:tc>
          <w:tcPr>
            <w:tcW w:w="6078" w:type="dxa"/>
            <w:tcBorders>
              <w:top w:val="single" w:sz="4" w:space="0" w:color="808080"/>
              <w:bottom w:val="single" w:sz="4" w:space="0" w:color="808080"/>
              <w:right w:val="single" w:sz="4" w:space="0" w:color="auto"/>
            </w:tcBorders>
          </w:tcPr>
          <w:p w:rsidR="00000000" w:rsidRDefault="00D35856">
            <w:pPr>
              <w:keepNext w:val="0"/>
              <w:spacing w:after="0"/>
              <w:jc w:val="left"/>
              <w:rPr>
                <w:sz w:val="20"/>
              </w:rPr>
            </w:pPr>
            <w:r>
              <w:rPr>
                <w:sz w:val="20"/>
              </w:rPr>
              <w:t>Enware</w:t>
            </w:r>
          </w:p>
        </w:tc>
      </w:tr>
      <w:tr w:rsidR="00000000">
        <w:tblPrEx>
          <w:tblCellMar>
            <w:top w:w="0" w:type="dxa"/>
            <w:bottom w:w="0" w:type="dxa"/>
          </w:tblCellMar>
        </w:tblPrEx>
        <w:tc>
          <w:tcPr>
            <w:tcW w:w="2427" w:type="dxa"/>
            <w:tcBorders>
              <w:left w:val="single" w:sz="4" w:space="0" w:color="auto"/>
              <w:bottom w:val="single" w:sz="4" w:space="0" w:color="808080"/>
            </w:tcBorders>
          </w:tcPr>
          <w:p w:rsidR="00000000" w:rsidRDefault="00D35856">
            <w:pPr>
              <w:keepNext w:val="0"/>
              <w:spacing w:after="0"/>
              <w:rPr>
                <w:i/>
                <w:sz w:val="20"/>
              </w:rPr>
            </w:pPr>
            <w:r>
              <w:rPr>
                <w:i/>
                <w:sz w:val="20"/>
              </w:rPr>
              <w:t>Plumbers' association</w:t>
            </w:r>
          </w:p>
        </w:tc>
        <w:tc>
          <w:tcPr>
            <w:tcW w:w="6078" w:type="dxa"/>
            <w:tcBorders>
              <w:top w:val="single" w:sz="4" w:space="0" w:color="808080"/>
              <w:bottom w:val="single" w:sz="4" w:space="0" w:color="808080"/>
              <w:right w:val="single" w:sz="4" w:space="0" w:color="auto"/>
            </w:tcBorders>
          </w:tcPr>
          <w:p w:rsidR="00000000" w:rsidRDefault="00D35856">
            <w:pPr>
              <w:keepNext w:val="0"/>
              <w:spacing w:after="0"/>
              <w:jc w:val="left"/>
              <w:rPr>
                <w:sz w:val="20"/>
              </w:rPr>
            </w:pPr>
            <w:r>
              <w:rPr>
                <w:sz w:val="20"/>
              </w:rPr>
              <w:t>Master Plumbers Association</w:t>
            </w:r>
          </w:p>
        </w:tc>
      </w:tr>
      <w:tr w:rsidR="00000000">
        <w:tblPrEx>
          <w:tblCellMar>
            <w:top w:w="0" w:type="dxa"/>
            <w:bottom w:w="0" w:type="dxa"/>
          </w:tblCellMar>
        </w:tblPrEx>
        <w:tc>
          <w:tcPr>
            <w:tcW w:w="2427" w:type="dxa"/>
            <w:tcBorders>
              <w:top w:val="single" w:sz="4" w:space="0" w:color="808080"/>
              <w:left w:val="single" w:sz="4" w:space="0" w:color="auto"/>
            </w:tcBorders>
          </w:tcPr>
          <w:p w:rsidR="00000000" w:rsidRDefault="00D35856">
            <w:pPr>
              <w:keepNext w:val="0"/>
              <w:spacing w:after="0"/>
              <w:rPr>
                <w:i/>
                <w:sz w:val="20"/>
              </w:rPr>
            </w:pPr>
            <w:r>
              <w:rPr>
                <w:i/>
                <w:sz w:val="20"/>
              </w:rPr>
              <w:t>Retailers and vendors</w:t>
            </w:r>
          </w:p>
        </w:tc>
        <w:tc>
          <w:tcPr>
            <w:tcW w:w="6078" w:type="dxa"/>
            <w:tcBorders>
              <w:top w:val="single" w:sz="4" w:space="0" w:color="808080"/>
              <w:bottom w:val="single" w:sz="4" w:space="0" w:color="808080"/>
              <w:right w:val="single" w:sz="4" w:space="0" w:color="auto"/>
            </w:tcBorders>
          </w:tcPr>
          <w:p w:rsidR="00000000" w:rsidRDefault="00D35856">
            <w:pPr>
              <w:keepNext w:val="0"/>
              <w:spacing w:after="0"/>
              <w:jc w:val="left"/>
              <w:rPr>
                <w:sz w:val="20"/>
              </w:rPr>
            </w:pPr>
            <w:r>
              <w:rPr>
                <w:sz w:val="20"/>
              </w:rPr>
              <w:t>Bunnings</w:t>
            </w:r>
          </w:p>
        </w:tc>
      </w:tr>
      <w:tr w:rsidR="00000000">
        <w:tblPrEx>
          <w:tblCellMar>
            <w:top w:w="0" w:type="dxa"/>
            <w:bottom w:w="0" w:type="dxa"/>
          </w:tblCellMar>
        </w:tblPrEx>
        <w:tc>
          <w:tcPr>
            <w:tcW w:w="2427" w:type="dxa"/>
            <w:tcBorders>
              <w:left w:val="single" w:sz="4" w:space="0" w:color="auto"/>
              <w:bottom w:val="single" w:sz="4" w:space="0" w:color="808080"/>
            </w:tcBorders>
          </w:tcPr>
          <w:p w:rsidR="00000000" w:rsidRDefault="00D35856">
            <w:pPr>
              <w:keepNext w:val="0"/>
              <w:spacing w:after="0"/>
              <w:rPr>
                <w:i/>
                <w:sz w:val="20"/>
              </w:rPr>
            </w:pPr>
          </w:p>
        </w:tc>
        <w:tc>
          <w:tcPr>
            <w:tcW w:w="6078" w:type="dxa"/>
            <w:tcBorders>
              <w:top w:val="single" w:sz="4" w:space="0" w:color="808080"/>
              <w:bottom w:val="single" w:sz="4" w:space="0" w:color="808080"/>
              <w:right w:val="single" w:sz="4" w:space="0" w:color="auto"/>
            </w:tcBorders>
          </w:tcPr>
          <w:p w:rsidR="00000000" w:rsidRDefault="00D35856">
            <w:pPr>
              <w:keepNext w:val="0"/>
              <w:spacing w:after="0"/>
              <w:jc w:val="left"/>
              <w:rPr>
                <w:sz w:val="20"/>
              </w:rPr>
            </w:pPr>
            <w:r>
              <w:rPr>
                <w:sz w:val="20"/>
              </w:rPr>
              <w:t>Tradelink</w:t>
            </w:r>
          </w:p>
        </w:tc>
      </w:tr>
      <w:tr w:rsidR="00000000">
        <w:tblPrEx>
          <w:tblCellMar>
            <w:top w:w="0" w:type="dxa"/>
            <w:bottom w:w="0" w:type="dxa"/>
          </w:tblCellMar>
        </w:tblPrEx>
        <w:tc>
          <w:tcPr>
            <w:tcW w:w="2427" w:type="dxa"/>
            <w:tcBorders>
              <w:top w:val="single" w:sz="4" w:space="0" w:color="808080"/>
              <w:left w:val="single" w:sz="4" w:space="0" w:color="auto"/>
            </w:tcBorders>
          </w:tcPr>
          <w:p w:rsidR="00000000" w:rsidRDefault="00D35856">
            <w:pPr>
              <w:keepNext w:val="0"/>
              <w:spacing w:after="0"/>
              <w:rPr>
                <w:i/>
                <w:sz w:val="20"/>
              </w:rPr>
            </w:pPr>
            <w:r>
              <w:rPr>
                <w:i/>
                <w:sz w:val="20"/>
              </w:rPr>
              <w:t>Testing laboratories</w:t>
            </w:r>
          </w:p>
        </w:tc>
        <w:tc>
          <w:tcPr>
            <w:tcW w:w="6078" w:type="dxa"/>
            <w:tcBorders>
              <w:top w:val="single" w:sz="4" w:space="0" w:color="808080"/>
              <w:bottom w:val="single" w:sz="4" w:space="0" w:color="auto"/>
              <w:right w:val="single" w:sz="4" w:space="0" w:color="auto"/>
            </w:tcBorders>
          </w:tcPr>
          <w:p w:rsidR="00000000" w:rsidRDefault="00D35856">
            <w:pPr>
              <w:keepNext w:val="0"/>
              <w:spacing w:after="0"/>
              <w:rPr>
                <w:sz w:val="20"/>
              </w:rPr>
            </w:pPr>
            <w:r>
              <w:rPr>
                <w:sz w:val="20"/>
              </w:rPr>
              <w:t>SGS Australia Limited</w:t>
            </w:r>
          </w:p>
        </w:tc>
      </w:tr>
      <w:tr w:rsidR="00000000">
        <w:tblPrEx>
          <w:tblCellMar>
            <w:top w:w="0" w:type="dxa"/>
            <w:bottom w:w="0" w:type="dxa"/>
          </w:tblCellMar>
        </w:tblPrEx>
        <w:tc>
          <w:tcPr>
            <w:tcW w:w="2427" w:type="dxa"/>
            <w:tcBorders>
              <w:left w:val="single" w:sz="4" w:space="0" w:color="auto"/>
            </w:tcBorders>
          </w:tcPr>
          <w:p w:rsidR="00000000" w:rsidRDefault="00D35856">
            <w:pPr>
              <w:keepNext w:val="0"/>
              <w:spacing w:after="0"/>
              <w:rPr>
                <w:sz w:val="20"/>
              </w:rPr>
            </w:pPr>
          </w:p>
        </w:tc>
        <w:tc>
          <w:tcPr>
            <w:tcW w:w="6078" w:type="dxa"/>
            <w:tcBorders>
              <w:top w:val="single" w:sz="4" w:space="0" w:color="808080"/>
              <w:bottom w:val="single" w:sz="4" w:space="0" w:color="auto"/>
              <w:right w:val="single" w:sz="4" w:space="0" w:color="auto"/>
            </w:tcBorders>
          </w:tcPr>
          <w:p w:rsidR="00000000" w:rsidRDefault="00D35856">
            <w:pPr>
              <w:keepNext w:val="0"/>
              <w:spacing w:after="0"/>
              <w:rPr>
                <w:sz w:val="20"/>
              </w:rPr>
            </w:pPr>
            <w:r>
              <w:rPr>
                <w:sz w:val="20"/>
              </w:rPr>
              <w:t>VIPAC Engineering and Scientists</w:t>
            </w:r>
          </w:p>
        </w:tc>
      </w:tr>
      <w:tr w:rsidR="00000000">
        <w:tblPrEx>
          <w:tblCellMar>
            <w:top w:w="0" w:type="dxa"/>
            <w:bottom w:w="0" w:type="dxa"/>
          </w:tblCellMar>
        </w:tblPrEx>
        <w:tc>
          <w:tcPr>
            <w:tcW w:w="2427" w:type="dxa"/>
            <w:tcBorders>
              <w:left w:val="single" w:sz="4" w:space="0" w:color="auto"/>
              <w:bottom w:val="single" w:sz="4" w:space="0" w:color="auto"/>
            </w:tcBorders>
          </w:tcPr>
          <w:p w:rsidR="00000000" w:rsidRDefault="00D35856">
            <w:pPr>
              <w:keepNext w:val="0"/>
              <w:spacing w:after="0"/>
              <w:rPr>
                <w:sz w:val="20"/>
              </w:rPr>
            </w:pPr>
          </w:p>
        </w:tc>
        <w:tc>
          <w:tcPr>
            <w:tcW w:w="6078" w:type="dxa"/>
            <w:tcBorders>
              <w:top w:val="single" w:sz="4" w:space="0" w:color="auto"/>
              <w:bottom w:val="single" w:sz="4" w:space="0" w:color="auto"/>
              <w:right w:val="single" w:sz="4" w:space="0" w:color="auto"/>
            </w:tcBorders>
          </w:tcPr>
          <w:p w:rsidR="00000000" w:rsidRDefault="00D35856">
            <w:pPr>
              <w:keepNext w:val="0"/>
              <w:rPr>
                <w:sz w:val="20"/>
              </w:rPr>
            </w:pPr>
            <w:r>
              <w:rPr>
                <w:sz w:val="20"/>
              </w:rPr>
              <w:t>Enertech Australia Pty Ltd</w:t>
            </w:r>
          </w:p>
        </w:tc>
      </w:tr>
      <w:tr w:rsidR="00000000">
        <w:tblPrEx>
          <w:tblCellMar>
            <w:top w:w="0" w:type="dxa"/>
            <w:bottom w:w="0" w:type="dxa"/>
          </w:tblCellMar>
        </w:tblPrEx>
        <w:tc>
          <w:tcPr>
            <w:tcW w:w="2427" w:type="dxa"/>
            <w:tcBorders>
              <w:top w:val="single" w:sz="4" w:space="0" w:color="auto"/>
            </w:tcBorders>
          </w:tcPr>
          <w:p w:rsidR="00000000" w:rsidRDefault="00D35856">
            <w:pPr>
              <w:keepNext w:val="0"/>
              <w:rPr>
                <w:sz w:val="20"/>
              </w:rPr>
            </w:pPr>
          </w:p>
        </w:tc>
        <w:tc>
          <w:tcPr>
            <w:tcW w:w="6078" w:type="dxa"/>
            <w:tcBorders>
              <w:top w:val="single" w:sz="4" w:space="0" w:color="auto"/>
            </w:tcBorders>
          </w:tcPr>
          <w:p w:rsidR="00000000" w:rsidRDefault="00D35856">
            <w:pPr>
              <w:keepNext w:val="0"/>
              <w:rPr>
                <w:sz w:val="20"/>
              </w:rPr>
            </w:pPr>
          </w:p>
        </w:tc>
      </w:tr>
    </w:tbl>
    <w:p w:rsidR="00000000" w:rsidRDefault="00D35856">
      <w:pPr>
        <w:keepNext w:val="0"/>
      </w:pPr>
    </w:p>
    <w:p w:rsidR="00000000" w:rsidRDefault="00D35856">
      <w:pPr>
        <w:pStyle w:val="Heading1A"/>
        <w:rPr>
          <w:color w:val="auto"/>
        </w:rPr>
      </w:pPr>
      <w:r>
        <w:rPr>
          <w:color w:val="auto"/>
        </w:rPr>
        <w:lastRenderedPageBreak/>
        <w:t>Appendix B – WELS registration data</w:t>
      </w:r>
    </w:p>
    <w:p w:rsidR="00000000" w:rsidRDefault="00D35856">
      <w:pPr>
        <w:pStyle w:val="Heading3a"/>
      </w:pPr>
      <w:bookmarkStart w:id="262" w:name="_Toc199933777"/>
      <w:r>
        <w:t>WELS Registrations approved</w:t>
      </w:r>
      <w:bookmarkEnd w:id="262"/>
    </w:p>
    <w:p w:rsidR="00000000" w:rsidRDefault="00D35856">
      <w:r>
        <w:t>Note that these refer to original registrations, not subsequent additions to families.</w:t>
      </w:r>
    </w:p>
    <w:tbl>
      <w:tblPr>
        <w:tblW w:w="5000" w:type="pct"/>
        <w:tblLook w:val="0000"/>
      </w:tblPr>
      <w:tblGrid>
        <w:gridCol w:w="1095"/>
        <w:gridCol w:w="952"/>
        <w:gridCol w:w="952"/>
        <w:gridCol w:w="953"/>
        <w:gridCol w:w="952"/>
        <w:gridCol w:w="952"/>
        <w:gridCol w:w="953"/>
        <w:gridCol w:w="952"/>
        <w:gridCol w:w="953"/>
      </w:tblGrid>
      <w:tr w:rsidR="00000000">
        <w:trPr>
          <w:trHeight w:val="528"/>
        </w:trPr>
        <w:tc>
          <w:tcPr>
            <w:tcW w:w="628" w:type="pct"/>
            <w:tcBorders>
              <w:top w:val="single" w:sz="4" w:space="0" w:color="000000"/>
              <w:left w:val="single" w:sz="4" w:space="0" w:color="000000"/>
              <w:bottom w:val="single" w:sz="4" w:space="0" w:color="000000"/>
              <w:right w:val="single" w:sz="4" w:space="0" w:color="000000"/>
            </w:tcBorders>
            <w:shd w:val="clear" w:color="auto" w:fill="FFFF99"/>
          </w:tcPr>
          <w:p w:rsidR="00000000" w:rsidRDefault="00D35856">
            <w:pPr>
              <w:keepNext w:val="0"/>
              <w:spacing w:after="0"/>
              <w:jc w:val="left"/>
              <w:rPr>
                <w:rFonts w:ascii="Arial" w:hAnsi="Arial" w:cs="Arial"/>
                <w:b/>
                <w:bCs/>
                <w:color w:val="000000"/>
                <w:sz w:val="20"/>
                <w:szCs w:val="20"/>
                <w:lang w:val="en-US"/>
              </w:rPr>
            </w:pPr>
            <w:r>
              <w:rPr>
                <w:rFonts w:ascii="Arial" w:hAnsi="Arial" w:cs="Arial"/>
                <w:b/>
                <w:bCs/>
                <w:color w:val="000000"/>
                <w:sz w:val="20"/>
                <w:szCs w:val="20"/>
                <w:lang w:val="en-US"/>
              </w:rPr>
              <w:t>Month Received</w:t>
            </w:r>
          </w:p>
        </w:tc>
        <w:tc>
          <w:tcPr>
            <w:tcW w:w="546" w:type="pct"/>
            <w:tcBorders>
              <w:top w:val="single" w:sz="4" w:space="0" w:color="000000"/>
              <w:left w:val="nil"/>
              <w:bottom w:val="single" w:sz="4" w:space="0" w:color="000000"/>
              <w:right w:val="single" w:sz="4" w:space="0" w:color="000000"/>
            </w:tcBorders>
            <w:shd w:val="clear" w:color="auto" w:fill="FFFF99"/>
          </w:tcPr>
          <w:p w:rsidR="00000000" w:rsidRDefault="00D35856">
            <w:pPr>
              <w:keepNext w:val="0"/>
              <w:spacing w:after="0"/>
              <w:jc w:val="left"/>
              <w:rPr>
                <w:rFonts w:ascii="Arial" w:hAnsi="Arial" w:cs="Arial"/>
                <w:b/>
                <w:bCs/>
                <w:color w:val="000000"/>
                <w:sz w:val="20"/>
                <w:szCs w:val="20"/>
                <w:lang w:val="en-US"/>
              </w:rPr>
            </w:pPr>
            <w:r>
              <w:rPr>
                <w:rFonts w:ascii="Arial" w:hAnsi="Arial" w:cs="Arial"/>
                <w:b/>
                <w:bCs/>
                <w:color w:val="000000"/>
                <w:sz w:val="20"/>
                <w:szCs w:val="20"/>
                <w:lang w:val="en-US"/>
              </w:rPr>
              <w:t>CWM</w:t>
            </w:r>
          </w:p>
        </w:tc>
        <w:tc>
          <w:tcPr>
            <w:tcW w:w="546" w:type="pct"/>
            <w:tcBorders>
              <w:top w:val="single" w:sz="4" w:space="0" w:color="000000"/>
              <w:left w:val="nil"/>
              <w:bottom w:val="single" w:sz="4" w:space="0" w:color="000000"/>
              <w:right w:val="single" w:sz="4" w:space="0" w:color="000000"/>
            </w:tcBorders>
            <w:shd w:val="clear" w:color="auto" w:fill="FFFF99"/>
          </w:tcPr>
          <w:p w:rsidR="00000000" w:rsidRDefault="00D35856">
            <w:pPr>
              <w:keepNext w:val="0"/>
              <w:spacing w:after="0"/>
              <w:jc w:val="left"/>
              <w:rPr>
                <w:rFonts w:ascii="Arial" w:hAnsi="Arial" w:cs="Arial"/>
                <w:b/>
                <w:bCs/>
                <w:color w:val="000000"/>
                <w:sz w:val="20"/>
                <w:szCs w:val="20"/>
                <w:lang w:val="en-US"/>
              </w:rPr>
            </w:pPr>
            <w:r>
              <w:rPr>
                <w:rFonts w:ascii="Arial" w:hAnsi="Arial" w:cs="Arial"/>
                <w:b/>
                <w:bCs/>
                <w:color w:val="000000"/>
                <w:sz w:val="20"/>
                <w:szCs w:val="20"/>
                <w:lang w:val="en-US"/>
              </w:rPr>
              <w:t>DWM</w:t>
            </w:r>
          </w:p>
        </w:tc>
        <w:tc>
          <w:tcPr>
            <w:tcW w:w="547" w:type="pct"/>
            <w:tcBorders>
              <w:top w:val="single" w:sz="4" w:space="0" w:color="000000"/>
              <w:left w:val="nil"/>
              <w:bottom w:val="single" w:sz="4" w:space="0" w:color="000000"/>
              <w:right w:val="single" w:sz="4" w:space="0" w:color="000000"/>
            </w:tcBorders>
            <w:shd w:val="clear" w:color="auto" w:fill="FFFF99"/>
          </w:tcPr>
          <w:p w:rsidR="00000000" w:rsidRDefault="00D35856">
            <w:pPr>
              <w:keepNext w:val="0"/>
              <w:spacing w:after="0"/>
              <w:jc w:val="left"/>
              <w:rPr>
                <w:rFonts w:ascii="Arial" w:hAnsi="Arial" w:cs="Arial"/>
                <w:b/>
                <w:bCs/>
                <w:color w:val="000000"/>
                <w:sz w:val="20"/>
                <w:szCs w:val="20"/>
                <w:lang w:val="en-US"/>
              </w:rPr>
            </w:pPr>
            <w:r>
              <w:rPr>
                <w:rFonts w:ascii="Arial" w:hAnsi="Arial" w:cs="Arial"/>
                <w:b/>
                <w:bCs/>
                <w:color w:val="000000"/>
                <w:sz w:val="20"/>
                <w:szCs w:val="20"/>
                <w:lang w:val="en-US"/>
              </w:rPr>
              <w:t>FC</w:t>
            </w:r>
          </w:p>
        </w:tc>
        <w:tc>
          <w:tcPr>
            <w:tcW w:w="546" w:type="pct"/>
            <w:tcBorders>
              <w:top w:val="single" w:sz="4" w:space="0" w:color="000000"/>
              <w:left w:val="nil"/>
              <w:bottom w:val="single" w:sz="4" w:space="0" w:color="000000"/>
              <w:right w:val="single" w:sz="4" w:space="0" w:color="000000"/>
            </w:tcBorders>
            <w:shd w:val="clear" w:color="auto" w:fill="FFFF99"/>
          </w:tcPr>
          <w:p w:rsidR="00000000" w:rsidRDefault="00D35856">
            <w:pPr>
              <w:keepNext w:val="0"/>
              <w:spacing w:after="0"/>
              <w:jc w:val="left"/>
              <w:rPr>
                <w:rFonts w:ascii="Arial" w:hAnsi="Arial" w:cs="Arial"/>
                <w:b/>
                <w:bCs/>
                <w:color w:val="000000"/>
                <w:sz w:val="20"/>
                <w:szCs w:val="20"/>
                <w:lang w:val="en-US"/>
              </w:rPr>
            </w:pPr>
            <w:r>
              <w:rPr>
                <w:rFonts w:ascii="Arial" w:hAnsi="Arial" w:cs="Arial"/>
                <w:b/>
                <w:bCs/>
                <w:color w:val="000000"/>
                <w:sz w:val="20"/>
                <w:szCs w:val="20"/>
                <w:lang w:val="en-US"/>
              </w:rPr>
              <w:t>LE</w:t>
            </w:r>
          </w:p>
        </w:tc>
        <w:tc>
          <w:tcPr>
            <w:tcW w:w="546" w:type="pct"/>
            <w:tcBorders>
              <w:top w:val="single" w:sz="4" w:space="0" w:color="000000"/>
              <w:left w:val="nil"/>
              <w:bottom w:val="single" w:sz="4" w:space="0" w:color="000000"/>
              <w:right w:val="single" w:sz="4" w:space="0" w:color="000000"/>
            </w:tcBorders>
            <w:shd w:val="clear" w:color="auto" w:fill="FFFF99"/>
          </w:tcPr>
          <w:p w:rsidR="00000000" w:rsidRDefault="00D35856">
            <w:pPr>
              <w:keepNext w:val="0"/>
              <w:spacing w:after="0"/>
              <w:jc w:val="left"/>
              <w:rPr>
                <w:rFonts w:ascii="Arial" w:hAnsi="Arial" w:cs="Arial"/>
                <w:b/>
                <w:bCs/>
                <w:color w:val="000000"/>
                <w:sz w:val="20"/>
                <w:szCs w:val="20"/>
                <w:lang w:val="en-US"/>
              </w:rPr>
            </w:pPr>
            <w:r>
              <w:rPr>
                <w:rFonts w:ascii="Arial" w:hAnsi="Arial" w:cs="Arial"/>
                <w:b/>
                <w:bCs/>
                <w:color w:val="000000"/>
                <w:sz w:val="20"/>
                <w:szCs w:val="20"/>
                <w:lang w:val="en-US"/>
              </w:rPr>
              <w:t>S</w:t>
            </w:r>
          </w:p>
        </w:tc>
        <w:tc>
          <w:tcPr>
            <w:tcW w:w="547" w:type="pct"/>
            <w:tcBorders>
              <w:top w:val="single" w:sz="4" w:space="0" w:color="000000"/>
              <w:left w:val="nil"/>
              <w:bottom w:val="single" w:sz="4" w:space="0" w:color="000000"/>
              <w:right w:val="single" w:sz="4" w:space="0" w:color="000000"/>
            </w:tcBorders>
            <w:shd w:val="clear" w:color="auto" w:fill="FFFF99"/>
          </w:tcPr>
          <w:p w:rsidR="00000000" w:rsidRDefault="00D35856">
            <w:pPr>
              <w:keepNext w:val="0"/>
              <w:spacing w:after="0"/>
              <w:jc w:val="left"/>
              <w:rPr>
                <w:rFonts w:ascii="Arial" w:hAnsi="Arial" w:cs="Arial"/>
                <w:b/>
                <w:bCs/>
                <w:color w:val="000000"/>
                <w:sz w:val="20"/>
                <w:szCs w:val="20"/>
                <w:lang w:val="en-US"/>
              </w:rPr>
            </w:pPr>
            <w:r>
              <w:rPr>
                <w:rFonts w:ascii="Arial" w:hAnsi="Arial" w:cs="Arial"/>
                <w:b/>
                <w:bCs/>
                <w:color w:val="000000"/>
                <w:sz w:val="20"/>
                <w:szCs w:val="20"/>
                <w:lang w:val="en-US"/>
              </w:rPr>
              <w:t>TE</w:t>
            </w:r>
          </w:p>
        </w:tc>
        <w:tc>
          <w:tcPr>
            <w:tcW w:w="546" w:type="pct"/>
            <w:tcBorders>
              <w:top w:val="single" w:sz="4" w:space="0" w:color="000000"/>
              <w:left w:val="nil"/>
              <w:bottom w:val="single" w:sz="4" w:space="0" w:color="000000"/>
              <w:right w:val="single" w:sz="4" w:space="0" w:color="000000"/>
            </w:tcBorders>
            <w:shd w:val="clear" w:color="auto" w:fill="FFFF99"/>
          </w:tcPr>
          <w:p w:rsidR="00000000" w:rsidRDefault="00D35856">
            <w:pPr>
              <w:keepNext w:val="0"/>
              <w:spacing w:after="0"/>
              <w:jc w:val="left"/>
              <w:rPr>
                <w:rFonts w:ascii="Arial" w:hAnsi="Arial" w:cs="Arial"/>
                <w:b/>
                <w:bCs/>
                <w:color w:val="000000"/>
                <w:sz w:val="20"/>
                <w:szCs w:val="20"/>
                <w:lang w:val="en-US"/>
              </w:rPr>
            </w:pPr>
            <w:r>
              <w:rPr>
                <w:rFonts w:ascii="Arial" w:hAnsi="Arial" w:cs="Arial"/>
                <w:b/>
                <w:bCs/>
                <w:color w:val="000000"/>
                <w:sz w:val="20"/>
                <w:szCs w:val="20"/>
                <w:lang w:val="en-US"/>
              </w:rPr>
              <w:t>UE</w:t>
            </w:r>
          </w:p>
        </w:tc>
        <w:tc>
          <w:tcPr>
            <w:tcW w:w="547" w:type="pct"/>
            <w:tcBorders>
              <w:top w:val="single" w:sz="4" w:space="0" w:color="000000"/>
              <w:left w:val="nil"/>
              <w:bottom w:val="single" w:sz="4" w:space="0" w:color="000000"/>
              <w:right w:val="single" w:sz="4" w:space="0" w:color="000000"/>
            </w:tcBorders>
            <w:shd w:val="clear" w:color="auto" w:fill="FFFF99"/>
          </w:tcPr>
          <w:p w:rsidR="00000000" w:rsidRDefault="00D35856">
            <w:pPr>
              <w:keepNext w:val="0"/>
              <w:spacing w:after="0"/>
              <w:jc w:val="left"/>
              <w:rPr>
                <w:rFonts w:ascii="Arial" w:hAnsi="Arial" w:cs="Arial"/>
                <w:b/>
                <w:bCs/>
                <w:color w:val="000000"/>
                <w:sz w:val="20"/>
                <w:szCs w:val="20"/>
                <w:lang w:val="en-US"/>
              </w:rPr>
            </w:pPr>
            <w:r>
              <w:rPr>
                <w:rFonts w:ascii="Arial" w:hAnsi="Arial" w:cs="Arial"/>
                <w:b/>
                <w:bCs/>
                <w:color w:val="000000"/>
                <w:sz w:val="20"/>
                <w:szCs w:val="20"/>
                <w:lang w:val="en-US"/>
              </w:rPr>
              <w:t>Total</w:t>
            </w:r>
          </w:p>
        </w:tc>
      </w:tr>
      <w:tr w:rsidR="00000000">
        <w:trPr>
          <w:trHeight w:val="264"/>
        </w:trPr>
        <w:tc>
          <w:tcPr>
            <w:tcW w:w="628"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Jul-05</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w:t>
            </w:r>
          </w:p>
        </w:tc>
      </w:tr>
      <w:tr w:rsidR="00000000">
        <w:trPr>
          <w:trHeight w:val="264"/>
        </w:trPr>
        <w:tc>
          <w:tcPr>
            <w:tcW w:w="628"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Aug-05</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w:t>
            </w:r>
          </w:p>
        </w:tc>
      </w:tr>
      <w:tr w:rsidR="00000000">
        <w:trPr>
          <w:trHeight w:val="264"/>
        </w:trPr>
        <w:tc>
          <w:tcPr>
            <w:tcW w:w="628"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Sep-05</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10</w:t>
            </w:r>
          </w:p>
        </w:tc>
      </w:tr>
      <w:tr w:rsidR="00000000">
        <w:trPr>
          <w:trHeight w:val="264"/>
        </w:trPr>
        <w:tc>
          <w:tcPr>
            <w:tcW w:w="628"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Oct-05</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23</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7</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31</w:t>
            </w:r>
          </w:p>
        </w:tc>
      </w:tr>
      <w:tr w:rsidR="00000000">
        <w:trPr>
          <w:trHeight w:val="264"/>
        </w:trPr>
        <w:tc>
          <w:tcPr>
            <w:tcW w:w="628"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Nov-05</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4</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13</w:t>
            </w:r>
          </w:p>
        </w:tc>
      </w:tr>
      <w:tr w:rsidR="00000000">
        <w:trPr>
          <w:trHeight w:val="264"/>
        </w:trPr>
        <w:tc>
          <w:tcPr>
            <w:tcW w:w="628"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Dec-05</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0</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8</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8</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17</w:t>
            </w:r>
          </w:p>
        </w:tc>
      </w:tr>
      <w:tr w:rsidR="00000000">
        <w:trPr>
          <w:trHeight w:val="264"/>
        </w:trPr>
        <w:tc>
          <w:tcPr>
            <w:tcW w:w="628"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Jan-06</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9</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0</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4</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12</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27</w:t>
            </w:r>
          </w:p>
        </w:tc>
      </w:tr>
      <w:tr w:rsidR="00000000">
        <w:trPr>
          <w:trHeight w:val="264"/>
        </w:trPr>
        <w:tc>
          <w:tcPr>
            <w:tcW w:w="628"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Feb-06</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8</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5</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4</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8</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29</w:t>
            </w:r>
          </w:p>
        </w:tc>
      </w:tr>
      <w:tr w:rsidR="00000000">
        <w:trPr>
          <w:trHeight w:val="264"/>
        </w:trPr>
        <w:tc>
          <w:tcPr>
            <w:tcW w:w="628"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Mar-06</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8</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5</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5</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7</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19</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44</w:t>
            </w:r>
          </w:p>
        </w:tc>
      </w:tr>
      <w:tr w:rsidR="00000000">
        <w:trPr>
          <w:trHeight w:val="264"/>
        </w:trPr>
        <w:tc>
          <w:tcPr>
            <w:tcW w:w="628"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Apr-06</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8</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13</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13</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25</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62</w:t>
            </w:r>
          </w:p>
        </w:tc>
      </w:tr>
      <w:tr w:rsidR="00000000">
        <w:trPr>
          <w:trHeight w:val="264"/>
        </w:trPr>
        <w:tc>
          <w:tcPr>
            <w:tcW w:w="628"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May-06</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35</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38</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18</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24</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56</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173</w:t>
            </w:r>
          </w:p>
        </w:tc>
      </w:tr>
      <w:tr w:rsidR="00000000">
        <w:trPr>
          <w:trHeight w:val="264"/>
        </w:trPr>
        <w:tc>
          <w:tcPr>
            <w:tcW w:w="628"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Jun-06</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29</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23</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13</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54</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95</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8</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222</w:t>
            </w:r>
          </w:p>
        </w:tc>
      </w:tr>
      <w:tr w:rsidR="00000000">
        <w:trPr>
          <w:trHeight w:val="264"/>
        </w:trPr>
        <w:tc>
          <w:tcPr>
            <w:tcW w:w="628"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Jul-06</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12</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10</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10</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10</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21</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67</w:t>
            </w:r>
          </w:p>
        </w:tc>
      </w:tr>
      <w:tr w:rsidR="00000000">
        <w:trPr>
          <w:trHeight w:val="264"/>
        </w:trPr>
        <w:tc>
          <w:tcPr>
            <w:tcW w:w="628"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Aug-06</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20</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4</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6</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10</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21</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67</w:t>
            </w:r>
          </w:p>
        </w:tc>
      </w:tr>
      <w:tr w:rsidR="00000000">
        <w:trPr>
          <w:trHeight w:val="264"/>
        </w:trPr>
        <w:tc>
          <w:tcPr>
            <w:tcW w:w="628"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Sep-06</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11</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7</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6</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7</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0</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37</w:t>
            </w:r>
          </w:p>
        </w:tc>
      </w:tr>
      <w:tr w:rsidR="00000000">
        <w:trPr>
          <w:trHeight w:val="264"/>
        </w:trPr>
        <w:tc>
          <w:tcPr>
            <w:tcW w:w="628"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Oct-06</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7</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11</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27</w:t>
            </w:r>
          </w:p>
        </w:tc>
      </w:tr>
      <w:tr w:rsidR="00000000">
        <w:trPr>
          <w:trHeight w:val="264"/>
        </w:trPr>
        <w:tc>
          <w:tcPr>
            <w:tcW w:w="628"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Nov-06</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6</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6</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14</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33</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67</w:t>
            </w:r>
          </w:p>
        </w:tc>
      </w:tr>
      <w:tr w:rsidR="00000000">
        <w:trPr>
          <w:trHeight w:val="264"/>
        </w:trPr>
        <w:tc>
          <w:tcPr>
            <w:tcW w:w="628"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Dec-06</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16</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6</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6</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13</w:t>
            </w:r>
          </w:p>
        </w:tc>
        <w:tc>
          <w:tcPr>
            <w:tcW w:w="547"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20</w:t>
            </w:r>
          </w:p>
        </w:tc>
        <w:tc>
          <w:tcPr>
            <w:tcW w:w="546" w:type="pct"/>
            <w:tcBorders>
              <w:top w:val="nil"/>
              <w:left w:val="nil"/>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6</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69</w:t>
            </w:r>
          </w:p>
        </w:tc>
      </w:tr>
      <w:tr w:rsidR="00000000">
        <w:trPr>
          <w:trHeight w:val="264"/>
        </w:trPr>
        <w:tc>
          <w:tcPr>
            <w:tcW w:w="628"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Jan-07</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9</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11</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13</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18</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53</w:t>
            </w:r>
          </w:p>
        </w:tc>
      </w:tr>
      <w:tr w:rsidR="00000000">
        <w:trPr>
          <w:trHeight w:val="264"/>
        </w:trPr>
        <w:tc>
          <w:tcPr>
            <w:tcW w:w="628"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Feb-07</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6</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11</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14</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41</w:t>
            </w:r>
          </w:p>
        </w:tc>
      </w:tr>
      <w:tr w:rsidR="00000000">
        <w:trPr>
          <w:trHeight w:val="264"/>
        </w:trPr>
        <w:tc>
          <w:tcPr>
            <w:tcW w:w="628"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Mar-07</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8</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13</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8</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4</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14</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49</w:t>
            </w:r>
          </w:p>
        </w:tc>
      </w:tr>
      <w:tr w:rsidR="00000000">
        <w:trPr>
          <w:trHeight w:val="264"/>
        </w:trPr>
        <w:tc>
          <w:tcPr>
            <w:tcW w:w="628"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Apr-07</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13</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17</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0</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4</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8</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6</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48</w:t>
            </w:r>
          </w:p>
        </w:tc>
      </w:tr>
      <w:tr w:rsidR="00000000">
        <w:trPr>
          <w:trHeight w:val="264"/>
        </w:trPr>
        <w:tc>
          <w:tcPr>
            <w:tcW w:w="628"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May-07</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5</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8</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8</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8</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34</w:t>
            </w:r>
          </w:p>
        </w:tc>
      </w:tr>
      <w:tr w:rsidR="00000000">
        <w:trPr>
          <w:trHeight w:val="264"/>
        </w:trPr>
        <w:tc>
          <w:tcPr>
            <w:tcW w:w="628"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Jun-07</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6</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5</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0</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0</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0</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9</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21</w:t>
            </w:r>
          </w:p>
        </w:tc>
      </w:tr>
      <w:tr w:rsidR="00000000">
        <w:trPr>
          <w:trHeight w:val="264"/>
        </w:trPr>
        <w:tc>
          <w:tcPr>
            <w:tcW w:w="628"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Jul-07</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12</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9</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15</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42</w:t>
            </w:r>
          </w:p>
        </w:tc>
      </w:tr>
      <w:tr w:rsidR="00000000">
        <w:trPr>
          <w:trHeight w:val="264"/>
        </w:trPr>
        <w:tc>
          <w:tcPr>
            <w:tcW w:w="628"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Aug-07</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8</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4</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19</w:t>
            </w:r>
          </w:p>
        </w:tc>
      </w:tr>
      <w:tr w:rsidR="00000000">
        <w:trPr>
          <w:trHeight w:val="264"/>
        </w:trPr>
        <w:tc>
          <w:tcPr>
            <w:tcW w:w="628"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Sep-07</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6</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7</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5</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25</w:t>
            </w:r>
          </w:p>
        </w:tc>
      </w:tr>
      <w:tr w:rsidR="00000000">
        <w:trPr>
          <w:trHeight w:val="264"/>
        </w:trPr>
        <w:tc>
          <w:tcPr>
            <w:tcW w:w="628"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Oct-07</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4</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9</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19</w:t>
            </w:r>
          </w:p>
        </w:tc>
      </w:tr>
      <w:tr w:rsidR="00000000">
        <w:trPr>
          <w:trHeight w:val="264"/>
        </w:trPr>
        <w:tc>
          <w:tcPr>
            <w:tcW w:w="628"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Nov-07</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9</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0</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4</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4</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22</w:t>
            </w:r>
          </w:p>
        </w:tc>
      </w:tr>
      <w:tr w:rsidR="00000000">
        <w:trPr>
          <w:trHeight w:val="264"/>
        </w:trPr>
        <w:tc>
          <w:tcPr>
            <w:tcW w:w="628"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Dec-07</w:t>
            </w:r>
          </w:p>
        </w:tc>
        <w:tc>
          <w:tcPr>
            <w:tcW w:w="546" w:type="pct"/>
            <w:tcBorders>
              <w:top w:val="nil"/>
              <w:left w:val="nil"/>
              <w:bottom w:val="single" w:sz="4" w:space="0" w:color="000000"/>
              <w:right w:val="single" w:sz="4" w:space="0" w:color="000000"/>
            </w:tcBorders>
            <w:shd w:val="clear" w:color="auto" w:fill="FFCC99"/>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0</w:t>
            </w:r>
          </w:p>
        </w:tc>
        <w:tc>
          <w:tcPr>
            <w:tcW w:w="546" w:type="pct"/>
            <w:tcBorders>
              <w:top w:val="nil"/>
              <w:left w:val="nil"/>
              <w:bottom w:val="single" w:sz="4" w:space="0" w:color="000000"/>
              <w:right w:val="single" w:sz="4" w:space="0" w:color="000000"/>
            </w:tcBorders>
            <w:shd w:val="clear" w:color="auto" w:fill="FFCC99"/>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0</w:t>
            </w:r>
          </w:p>
        </w:tc>
        <w:tc>
          <w:tcPr>
            <w:tcW w:w="547" w:type="pct"/>
            <w:tcBorders>
              <w:top w:val="nil"/>
              <w:left w:val="nil"/>
              <w:bottom w:val="single" w:sz="4" w:space="0" w:color="000000"/>
              <w:right w:val="single" w:sz="4" w:space="0" w:color="000000"/>
            </w:tcBorders>
            <w:shd w:val="clear" w:color="auto" w:fill="FFCC99"/>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0</w:t>
            </w:r>
          </w:p>
        </w:tc>
        <w:tc>
          <w:tcPr>
            <w:tcW w:w="546" w:type="pct"/>
            <w:tcBorders>
              <w:top w:val="nil"/>
              <w:left w:val="nil"/>
              <w:bottom w:val="single" w:sz="4" w:space="0" w:color="000000"/>
              <w:right w:val="single" w:sz="4" w:space="0" w:color="000000"/>
            </w:tcBorders>
            <w:shd w:val="clear" w:color="auto" w:fill="FFCC99"/>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0</w:t>
            </w:r>
          </w:p>
        </w:tc>
        <w:tc>
          <w:tcPr>
            <w:tcW w:w="546" w:type="pct"/>
            <w:tcBorders>
              <w:top w:val="nil"/>
              <w:left w:val="nil"/>
              <w:bottom w:val="single" w:sz="4" w:space="0" w:color="000000"/>
              <w:right w:val="single" w:sz="4" w:space="0" w:color="000000"/>
            </w:tcBorders>
            <w:shd w:val="clear" w:color="auto" w:fill="FFCC99"/>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w:t>
            </w:r>
          </w:p>
        </w:tc>
        <w:tc>
          <w:tcPr>
            <w:tcW w:w="547" w:type="pct"/>
            <w:tcBorders>
              <w:top w:val="nil"/>
              <w:left w:val="nil"/>
              <w:bottom w:val="single" w:sz="4" w:space="0" w:color="000000"/>
              <w:right w:val="single" w:sz="4" w:space="0" w:color="000000"/>
            </w:tcBorders>
            <w:shd w:val="clear" w:color="auto" w:fill="FFCC99"/>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w:t>
            </w:r>
          </w:p>
        </w:tc>
        <w:tc>
          <w:tcPr>
            <w:tcW w:w="546" w:type="pct"/>
            <w:tcBorders>
              <w:top w:val="nil"/>
              <w:left w:val="nil"/>
              <w:bottom w:val="single" w:sz="4" w:space="0" w:color="000000"/>
              <w:right w:val="single" w:sz="4" w:space="0" w:color="000000"/>
            </w:tcBorders>
            <w:shd w:val="clear" w:color="auto" w:fill="FFCC99"/>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0</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5</w:t>
            </w:r>
          </w:p>
        </w:tc>
      </w:tr>
      <w:tr w:rsidR="00000000">
        <w:trPr>
          <w:trHeight w:val="528"/>
        </w:trPr>
        <w:tc>
          <w:tcPr>
            <w:tcW w:w="628" w:type="pct"/>
            <w:tcBorders>
              <w:top w:val="nil"/>
              <w:left w:val="single" w:sz="4" w:space="0" w:color="000000"/>
              <w:bottom w:val="single" w:sz="4" w:space="0" w:color="000000"/>
              <w:right w:val="single" w:sz="4" w:space="0" w:color="000000"/>
            </w:tcBorders>
          </w:tcPr>
          <w:p w:rsidR="00000000" w:rsidRDefault="00D35856">
            <w:pPr>
              <w:keepNext w:val="0"/>
              <w:spacing w:after="0"/>
              <w:jc w:val="right"/>
              <w:rPr>
                <w:rFonts w:ascii="Arial" w:hAnsi="Arial" w:cs="Arial"/>
                <w:b/>
                <w:bCs/>
                <w:color w:val="000000"/>
                <w:sz w:val="20"/>
                <w:szCs w:val="20"/>
                <w:lang w:val="en-US"/>
              </w:rPr>
            </w:pPr>
            <w:r>
              <w:rPr>
                <w:rFonts w:ascii="Arial" w:hAnsi="Arial" w:cs="Arial"/>
                <w:b/>
                <w:bCs/>
                <w:color w:val="000000"/>
                <w:sz w:val="20"/>
                <w:szCs w:val="20"/>
                <w:lang w:val="en-US"/>
              </w:rPr>
              <w:t>Total</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236</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197</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30</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131</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254</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459</w:t>
            </w:r>
          </w:p>
        </w:tc>
        <w:tc>
          <w:tcPr>
            <w:tcW w:w="54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37</w:t>
            </w:r>
          </w:p>
        </w:tc>
        <w:tc>
          <w:tcPr>
            <w:tcW w:w="547"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1344</w:t>
            </w:r>
          </w:p>
        </w:tc>
      </w:tr>
    </w:tbl>
    <w:p w:rsidR="00000000" w:rsidRDefault="00D35856">
      <w:pPr>
        <w:keepNext w:val="0"/>
        <w:widowControl w:val="0"/>
      </w:pPr>
    </w:p>
    <w:p w:rsidR="00000000" w:rsidRDefault="00D35856">
      <w:pPr>
        <w:pStyle w:val="Heading3a"/>
      </w:pPr>
      <w:r>
        <w:br w:type="page"/>
      </w:r>
      <w:bookmarkStart w:id="263" w:name="_Toc199933778"/>
      <w:r>
        <w:lastRenderedPageBreak/>
        <w:t>WELS additions approved</w:t>
      </w:r>
      <w:bookmarkEnd w:id="263"/>
    </w:p>
    <w:tbl>
      <w:tblPr>
        <w:tblW w:w="5000" w:type="pct"/>
        <w:tblLayout w:type="fixed"/>
        <w:tblLook w:val="0000"/>
      </w:tblPr>
      <w:tblGrid>
        <w:gridCol w:w="1245"/>
        <w:gridCol w:w="933"/>
        <w:gridCol w:w="934"/>
        <w:gridCol w:w="934"/>
        <w:gridCol w:w="934"/>
        <w:gridCol w:w="932"/>
        <w:gridCol w:w="934"/>
        <w:gridCol w:w="934"/>
        <w:gridCol w:w="934"/>
      </w:tblGrid>
      <w:tr w:rsidR="00000000">
        <w:trPr>
          <w:trHeight w:val="528"/>
        </w:trPr>
        <w:tc>
          <w:tcPr>
            <w:tcW w:w="714" w:type="pct"/>
            <w:tcBorders>
              <w:top w:val="single" w:sz="4" w:space="0" w:color="000000"/>
              <w:left w:val="single" w:sz="4" w:space="0" w:color="000000"/>
              <w:bottom w:val="single" w:sz="4" w:space="0" w:color="000000"/>
              <w:right w:val="single" w:sz="4" w:space="0" w:color="000000"/>
            </w:tcBorders>
            <w:shd w:val="clear" w:color="auto" w:fill="FFFF99"/>
          </w:tcPr>
          <w:p w:rsidR="00000000" w:rsidRDefault="00D35856">
            <w:pPr>
              <w:keepNext w:val="0"/>
              <w:spacing w:after="0"/>
              <w:jc w:val="left"/>
              <w:rPr>
                <w:rFonts w:ascii="Arial" w:hAnsi="Arial" w:cs="Arial"/>
                <w:b/>
                <w:bCs/>
                <w:color w:val="000000"/>
                <w:sz w:val="20"/>
                <w:szCs w:val="20"/>
                <w:lang w:val="en-US"/>
              </w:rPr>
            </w:pPr>
            <w:r>
              <w:rPr>
                <w:rFonts w:ascii="Arial" w:hAnsi="Arial" w:cs="Arial"/>
                <w:b/>
                <w:bCs/>
                <w:color w:val="000000"/>
                <w:sz w:val="20"/>
                <w:szCs w:val="20"/>
                <w:lang w:val="en-US"/>
              </w:rPr>
              <w:t>Month Received</w:t>
            </w:r>
          </w:p>
        </w:tc>
        <w:tc>
          <w:tcPr>
            <w:tcW w:w="535" w:type="pct"/>
            <w:tcBorders>
              <w:top w:val="single" w:sz="4" w:space="0" w:color="000000"/>
              <w:left w:val="nil"/>
              <w:bottom w:val="single" w:sz="4" w:space="0" w:color="000000"/>
              <w:right w:val="single" w:sz="4" w:space="0" w:color="000000"/>
            </w:tcBorders>
            <w:shd w:val="clear" w:color="auto" w:fill="FFFF99"/>
          </w:tcPr>
          <w:p w:rsidR="00000000" w:rsidRDefault="00D35856">
            <w:pPr>
              <w:keepNext w:val="0"/>
              <w:spacing w:after="0"/>
              <w:jc w:val="left"/>
              <w:rPr>
                <w:rFonts w:ascii="Arial" w:hAnsi="Arial" w:cs="Arial"/>
                <w:b/>
                <w:bCs/>
                <w:color w:val="000000"/>
                <w:sz w:val="20"/>
                <w:szCs w:val="20"/>
                <w:lang w:val="en-US"/>
              </w:rPr>
            </w:pPr>
            <w:r>
              <w:rPr>
                <w:rFonts w:ascii="Arial" w:hAnsi="Arial" w:cs="Arial"/>
                <w:b/>
                <w:bCs/>
                <w:color w:val="000000"/>
                <w:sz w:val="20"/>
                <w:szCs w:val="20"/>
                <w:lang w:val="en-US"/>
              </w:rPr>
              <w:t>CWM</w:t>
            </w:r>
          </w:p>
        </w:tc>
        <w:tc>
          <w:tcPr>
            <w:tcW w:w="536" w:type="pct"/>
            <w:tcBorders>
              <w:top w:val="single" w:sz="4" w:space="0" w:color="000000"/>
              <w:left w:val="nil"/>
              <w:bottom w:val="single" w:sz="4" w:space="0" w:color="000000"/>
              <w:right w:val="single" w:sz="4" w:space="0" w:color="000000"/>
            </w:tcBorders>
            <w:shd w:val="clear" w:color="auto" w:fill="FFFF99"/>
          </w:tcPr>
          <w:p w:rsidR="00000000" w:rsidRDefault="00D35856">
            <w:pPr>
              <w:keepNext w:val="0"/>
              <w:spacing w:after="0"/>
              <w:jc w:val="left"/>
              <w:rPr>
                <w:rFonts w:ascii="Arial" w:hAnsi="Arial" w:cs="Arial"/>
                <w:b/>
                <w:bCs/>
                <w:color w:val="000000"/>
                <w:sz w:val="20"/>
                <w:szCs w:val="20"/>
                <w:lang w:val="en-US"/>
              </w:rPr>
            </w:pPr>
            <w:r>
              <w:rPr>
                <w:rFonts w:ascii="Arial" w:hAnsi="Arial" w:cs="Arial"/>
                <w:b/>
                <w:bCs/>
                <w:color w:val="000000"/>
                <w:sz w:val="20"/>
                <w:szCs w:val="20"/>
                <w:lang w:val="en-US"/>
              </w:rPr>
              <w:t>DWM</w:t>
            </w:r>
          </w:p>
        </w:tc>
        <w:tc>
          <w:tcPr>
            <w:tcW w:w="536" w:type="pct"/>
            <w:tcBorders>
              <w:top w:val="single" w:sz="4" w:space="0" w:color="000000"/>
              <w:left w:val="nil"/>
              <w:bottom w:val="single" w:sz="4" w:space="0" w:color="000000"/>
              <w:right w:val="single" w:sz="4" w:space="0" w:color="000000"/>
            </w:tcBorders>
            <w:shd w:val="clear" w:color="auto" w:fill="FFFF99"/>
          </w:tcPr>
          <w:p w:rsidR="00000000" w:rsidRDefault="00D35856">
            <w:pPr>
              <w:keepNext w:val="0"/>
              <w:spacing w:after="0"/>
              <w:jc w:val="left"/>
              <w:rPr>
                <w:rFonts w:ascii="Arial" w:hAnsi="Arial" w:cs="Arial"/>
                <w:b/>
                <w:bCs/>
                <w:color w:val="000000"/>
                <w:sz w:val="20"/>
                <w:szCs w:val="20"/>
                <w:lang w:val="en-US"/>
              </w:rPr>
            </w:pPr>
            <w:r>
              <w:rPr>
                <w:rFonts w:ascii="Arial" w:hAnsi="Arial" w:cs="Arial"/>
                <w:b/>
                <w:bCs/>
                <w:color w:val="000000"/>
                <w:sz w:val="20"/>
                <w:szCs w:val="20"/>
                <w:lang w:val="en-US"/>
              </w:rPr>
              <w:t>FC</w:t>
            </w:r>
          </w:p>
        </w:tc>
        <w:tc>
          <w:tcPr>
            <w:tcW w:w="536" w:type="pct"/>
            <w:tcBorders>
              <w:top w:val="single" w:sz="4" w:space="0" w:color="000000"/>
              <w:left w:val="nil"/>
              <w:bottom w:val="single" w:sz="4" w:space="0" w:color="000000"/>
              <w:right w:val="single" w:sz="4" w:space="0" w:color="000000"/>
            </w:tcBorders>
            <w:shd w:val="clear" w:color="auto" w:fill="FFFF99"/>
          </w:tcPr>
          <w:p w:rsidR="00000000" w:rsidRDefault="00D35856">
            <w:pPr>
              <w:keepNext w:val="0"/>
              <w:spacing w:after="0"/>
              <w:jc w:val="left"/>
              <w:rPr>
                <w:rFonts w:ascii="Arial" w:hAnsi="Arial" w:cs="Arial"/>
                <w:b/>
                <w:bCs/>
                <w:color w:val="000000"/>
                <w:sz w:val="20"/>
                <w:szCs w:val="20"/>
                <w:lang w:val="en-US"/>
              </w:rPr>
            </w:pPr>
            <w:r>
              <w:rPr>
                <w:rFonts w:ascii="Arial" w:hAnsi="Arial" w:cs="Arial"/>
                <w:b/>
                <w:bCs/>
                <w:color w:val="000000"/>
                <w:sz w:val="20"/>
                <w:szCs w:val="20"/>
                <w:lang w:val="en-US"/>
              </w:rPr>
              <w:t>LE</w:t>
            </w:r>
          </w:p>
        </w:tc>
        <w:tc>
          <w:tcPr>
            <w:tcW w:w="535" w:type="pct"/>
            <w:tcBorders>
              <w:top w:val="single" w:sz="4" w:space="0" w:color="000000"/>
              <w:left w:val="nil"/>
              <w:bottom w:val="single" w:sz="4" w:space="0" w:color="000000"/>
              <w:right w:val="single" w:sz="4" w:space="0" w:color="000000"/>
            </w:tcBorders>
            <w:shd w:val="clear" w:color="auto" w:fill="FFFF99"/>
          </w:tcPr>
          <w:p w:rsidR="00000000" w:rsidRDefault="00D35856">
            <w:pPr>
              <w:keepNext w:val="0"/>
              <w:spacing w:after="0"/>
              <w:jc w:val="left"/>
              <w:rPr>
                <w:rFonts w:ascii="Arial" w:hAnsi="Arial" w:cs="Arial"/>
                <w:b/>
                <w:bCs/>
                <w:color w:val="000000"/>
                <w:sz w:val="20"/>
                <w:szCs w:val="20"/>
                <w:lang w:val="en-US"/>
              </w:rPr>
            </w:pPr>
            <w:r>
              <w:rPr>
                <w:rFonts w:ascii="Arial" w:hAnsi="Arial" w:cs="Arial"/>
                <w:b/>
                <w:bCs/>
                <w:color w:val="000000"/>
                <w:sz w:val="20"/>
                <w:szCs w:val="20"/>
                <w:lang w:val="en-US"/>
              </w:rPr>
              <w:t>S</w:t>
            </w:r>
          </w:p>
        </w:tc>
        <w:tc>
          <w:tcPr>
            <w:tcW w:w="536" w:type="pct"/>
            <w:tcBorders>
              <w:top w:val="single" w:sz="4" w:space="0" w:color="000000"/>
              <w:left w:val="nil"/>
              <w:bottom w:val="single" w:sz="4" w:space="0" w:color="000000"/>
              <w:right w:val="single" w:sz="4" w:space="0" w:color="000000"/>
            </w:tcBorders>
            <w:shd w:val="clear" w:color="auto" w:fill="FFFF99"/>
          </w:tcPr>
          <w:p w:rsidR="00000000" w:rsidRDefault="00D35856">
            <w:pPr>
              <w:keepNext w:val="0"/>
              <w:spacing w:after="0"/>
              <w:jc w:val="left"/>
              <w:rPr>
                <w:rFonts w:ascii="Arial" w:hAnsi="Arial" w:cs="Arial"/>
                <w:b/>
                <w:bCs/>
                <w:color w:val="000000"/>
                <w:sz w:val="20"/>
                <w:szCs w:val="20"/>
                <w:lang w:val="en-US"/>
              </w:rPr>
            </w:pPr>
            <w:r>
              <w:rPr>
                <w:rFonts w:ascii="Arial" w:hAnsi="Arial" w:cs="Arial"/>
                <w:b/>
                <w:bCs/>
                <w:color w:val="000000"/>
                <w:sz w:val="20"/>
                <w:szCs w:val="20"/>
                <w:lang w:val="en-US"/>
              </w:rPr>
              <w:t>TE</w:t>
            </w:r>
          </w:p>
        </w:tc>
        <w:tc>
          <w:tcPr>
            <w:tcW w:w="536" w:type="pct"/>
            <w:tcBorders>
              <w:top w:val="single" w:sz="4" w:space="0" w:color="000000"/>
              <w:left w:val="nil"/>
              <w:bottom w:val="single" w:sz="4" w:space="0" w:color="000000"/>
              <w:right w:val="single" w:sz="4" w:space="0" w:color="000000"/>
            </w:tcBorders>
            <w:shd w:val="clear" w:color="auto" w:fill="FFFF99"/>
          </w:tcPr>
          <w:p w:rsidR="00000000" w:rsidRDefault="00D35856">
            <w:pPr>
              <w:keepNext w:val="0"/>
              <w:spacing w:after="0"/>
              <w:jc w:val="left"/>
              <w:rPr>
                <w:rFonts w:ascii="Arial" w:hAnsi="Arial" w:cs="Arial"/>
                <w:b/>
                <w:bCs/>
                <w:color w:val="000000"/>
                <w:sz w:val="20"/>
                <w:szCs w:val="20"/>
                <w:lang w:val="en-US"/>
              </w:rPr>
            </w:pPr>
            <w:r>
              <w:rPr>
                <w:rFonts w:ascii="Arial" w:hAnsi="Arial" w:cs="Arial"/>
                <w:b/>
                <w:bCs/>
                <w:color w:val="000000"/>
                <w:sz w:val="20"/>
                <w:szCs w:val="20"/>
                <w:lang w:val="en-US"/>
              </w:rPr>
              <w:t>UE</w:t>
            </w:r>
          </w:p>
        </w:tc>
        <w:tc>
          <w:tcPr>
            <w:tcW w:w="536" w:type="pct"/>
            <w:tcBorders>
              <w:top w:val="single" w:sz="4" w:space="0" w:color="000000"/>
              <w:left w:val="nil"/>
              <w:bottom w:val="single" w:sz="4" w:space="0" w:color="000000"/>
              <w:right w:val="single" w:sz="4" w:space="0" w:color="000000"/>
            </w:tcBorders>
            <w:shd w:val="clear" w:color="auto" w:fill="FFFF99"/>
          </w:tcPr>
          <w:p w:rsidR="00000000" w:rsidRDefault="00D35856">
            <w:pPr>
              <w:keepNext w:val="0"/>
              <w:spacing w:after="0"/>
              <w:jc w:val="left"/>
              <w:rPr>
                <w:rFonts w:ascii="Arial" w:hAnsi="Arial" w:cs="Arial"/>
                <w:b/>
                <w:bCs/>
                <w:color w:val="000000"/>
                <w:sz w:val="20"/>
                <w:szCs w:val="20"/>
                <w:lang w:val="en-US"/>
              </w:rPr>
            </w:pPr>
            <w:r>
              <w:rPr>
                <w:rFonts w:ascii="Arial" w:hAnsi="Arial" w:cs="Arial"/>
                <w:b/>
                <w:bCs/>
                <w:color w:val="000000"/>
                <w:sz w:val="20"/>
                <w:szCs w:val="20"/>
                <w:lang w:val="en-US"/>
              </w:rPr>
              <w:t>Total</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Jul-05</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0</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Aug-05</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0</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Sep-05</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0</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Oct-05</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3</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Nov-05</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3</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4</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Dec-05</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20</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21</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Jan-06</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14</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2</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3</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20</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Feb-06</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11</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Mar-06</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10</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11</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Apr-06</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4</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19</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4</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27</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May-06</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2</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23</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20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45</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Jun-06</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19</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42</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55</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118</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Jul-06</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12</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52</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84</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4</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153</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Aug-06</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6</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6</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19</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2</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35</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Sep-06</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5</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2</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24</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23</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55</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Oct-06</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2</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8</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21</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32</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Nov-06</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2</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11</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8</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21</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Dec-06</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9</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9</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17</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25</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60</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Jan-07</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5</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14</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15</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34</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Feb-07</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2</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4</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24</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25</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55</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Mar-07</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2</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2</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3</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5</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11</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15</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38</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Apr-07</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7</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7</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9</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23</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May-07</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2</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2</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3</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6</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13</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Jun-07</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18</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5</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9</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33</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Jul-07</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3</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4</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2</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17</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27</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Aug-07</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3</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8</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4</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8</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24</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Sep-07</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8</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12</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21</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Oct-07</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3</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9</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9</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9</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30</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Nov-07</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2</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9</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11</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12</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35</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Dec-07</w:t>
            </w:r>
          </w:p>
        </w:tc>
        <w:tc>
          <w:tcPr>
            <w:tcW w:w="535" w:type="pct"/>
            <w:tcBorders>
              <w:top w:val="nil"/>
              <w:left w:val="nil"/>
              <w:bottom w:val="single" w:sz="4" w:space="0" w:color="000000"/>
              <w:right w:val="single" w:sz="4" w:space="0" w:color="000000"/>
            </w:tcBorders>
            <w:shd w:val="clear" w:color="auto" w:fill="FFCC99"/>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0</w:t>
            </w:r>
          </w:p>
        </w:tc>
        <w:tc>
          <w:tcPr>
            <w:tcW w:w="536" w:type="pct"/>
            <w:tcBorders>
              <w:top w:val="nil"/>
              <w:left w:val="nil"/>
              <w:bottom w:val="single" w:sz="4" w:space="0" w:color="000000"/>
              <w:right w:val="single" w:sz="4" w:space="0" w:color="000000"/>
            </w:tcBorders>
            <w:shd w:val="clear" w:color="auto" w:fill="FFCC99"/>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0</w:t>
            </w:r>
          </w:p>
        </w:tc>
        <w:tc>
          <w:tcPr>
            <w:tcW w:w="536" w:type="pct"/>
            <w:tcBorders>
              <w:top w:val="nil"/>
              <w:left w:val="nil"/>
              <w:bottom w:val="single" w:sz="4" w:space="0" w:color="000000"/>
              <w:right w:val="single" w:sz="4" w:space="0" w:color="000000"/>
            </w:tcBorders>
            <w:shd w:val="clear" w:color="auto" w:fill="FFCC99"/>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w:t>
            </w:r>
          </w:p>
        </w:tc>
        <w:tc>
          <w:tcPr>
            <w:tcW w:w="536" w:type="pct"/>
            <w:tcBorders>
              <w:top w:val="nil"/>
              <w:left w:val="nil"/>
              <w:bottom w:val="single" w:sz="4" w:space="0" w:color="000000"/>
              <w:right w:val="single" w:sz="4" w:space="0" w:color="000000"/>
            </w:tcBorders>
            <w:shd w:val="clear" w:color="auto" w:fill="FFCC99"/>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8</w:t>
            </w:r>
          </w:p>
        </w:tc>
        <w:tc>
          <w:tcPr>
            <w:tcW w:w="535" w:type="pct"/>
            <w:tcBorders>
              <w:top w:val="nil"/>
              <w:left w:val="nil"/>
              <w:bottom w:val="single" w:sz="4" w:space="0" w:color="000000"/>
              <w:right w:val="single" w:sz="4" w:space="0" w:color="000000"/>
            </w:tcBorders>
            <w:shd w:val="clear" w:color="auto" w:fill="FFCC99"/>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8</w:t>
            </w:r>
          </w:p>
        </w:tc>
        <w:tc>
          <w:tcPr>
            <w:tcW w:w="536" w:type="pct"/>
            <w:tcBorders>
              <w:top w:val="nil"/>
              <w:left w:val="nil"/>
              <w:bottom w:val="single" w:sz="4" w:space="0" w:color="000000"/>
              <w:right w:val="single" w:sz="4" w:space="0" w:color="000000"/>
            </w:tcBorders>
            <w:shd w:val="clear" w:color="auto" w:fill="FFCC99"/>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46</w:t>
            </w:r>
          </w:p>
        </w:tc>
        <w:tc>
          <w:tcPr>
            <w:tcW w:w="536" w:type="pct"/>
            <w:tcBorders>
              <w:top w:val="nil"/>
              <w:left w:val="nil"/>
              <w:bottom w:val="single" w:sz="4" w:space="0" w:color="000000"/>
              <w:right w:val="single" w:sz="4" w:space="0" w:color="000000"/>
            </w:tcBorders>
            <w:shd w:val="clear" w:color="auto" w:fill="FFCC99"/>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0</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63</w:t>
            </w:r>
          </w:p>
        </w:tc>
      </w:tr>
      <w:tr w:rsidR="00000000">
        <w:trPr>
          <w:trHeight w:val="528"/>
        </w:trPr>
        <w:tc>
          <w:tcPr>
            <w:tcW w:w="714" w:type="pct"/>
            <w:tcBorders>
              <w:top w:val="nil"/>
              <w:left w:val="single" w:sz="4" w:space="0" w:color="000000"/>
              <w:bottom w:val="single" w:sz="4" w:space="0" w:color="000000"/>
              <w:right w:val="single" w:sz="4" w:space="0" w:color="000000"/>
            </w:tcBorders>
          </w:tcPr>
          <w:p w:rsidR="00000000" w:rsidRDefault="00D35856">
            <w:pPr>
              <w:keepNext w:val="0"/>
              <w:spacing w:after="0"/>
              <w:jc w:val="right"/>
              <w:rPr>
                <w:rFonts w:ascii="Arial" w:hAnsi="Arial" w:cs="Arial"/>
                <w:b/>
                <w:bCs/>
                <w:color w:val="000000"/>
                <w:sz w:val="20"/>
                <w:szCs w:val="20"/>
                <w:lang w:val="en-US"/>
              </w:rPr>
            </w:pPr>
            <w:r>
              <w:rPr>
                <w:rFonts w:ascii="Arial" w:hAnsi="Arial" w:cs="Arial"/>
                <w:b/>
                <w:bCs/>
                <w:color w:val="000000"/>
                <w:sz w:val="20"/>
                <w:szCs w:val="20"/>
                <w:lang w:val="en-US"/>
              </w:rPr>
              <w:t>Total</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8</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11</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28</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189</w:t>
            </w:r>
          </w:p>
        </w:tc>
        <w:tc>
          <w:tcPr>
            <w:tcW w:w="535"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304</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463</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9</w:t>
            </w:r>
          </w:p>
        </w:tc>
        <w:tc>
          <w:tcPr>
            <w:tcW w:w="536" w:type="pct"/>
            <w:tcBorders>
              <w:top w:val="nil"/>
              <w:left w:val="nil"/>
              <w:bottom w:val="single" w:sz="4" w:space="0" w:color="000000"/>
              <w:right w:val="single" w:sz="4" w:space="0" w:color="000000"/>
            </w:tcBorders>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1012</w:t>
            </w:r>
          </w:p>
        </w:tc>
      </w:tr>
    </w:tbl>
    <w:p w:rsidR="00000000" w:rsidRDefault="00D35856">
      <w:pPr>
        <w:keepNext w:val="0"/>
        <w:widowControl w:val="0"/>
      </w:pPr>
    </w:p>
    <w:p w:rsidR="00000000" w:rsidRDefault="00D35856">
      <w:pPr>
        <w:keepNext w:val="0"/>
        <w:widowControl w:val="0"/>
      </w:pPr>
    </w:p>
    <w:p w:rsidR="00000000" w:rsidRDefault="00D35856">
      <w:pPr>
        <w:pStyle w:val="Heading3a"/>
      </w:pPr>
      <w:r>
        <w:br w:type="page"/>
      </w:r>
      <w:bookmarkStart w:id="264" w:name="_Toc199933779"/>
      <w:r>
        <w:lastRenderedPageBreak/>
        <w:t>WELS approved applications that required returning at least once</w:t>
      </w:r>
      <w:bookmarkEnd w:id="264"/>
    </w:p>
    <w:tbl>
      <w:tblPr>
        <w:tblW w:w="5000" w:type="pct"/>
        <w:tblLayout w:type="fixed"/>
        <w:tblLook w:val="0000"/>
      </w:tblPr>
      <w:tblGrid>
        <w:gridCol w:w="1245"/>
        <w:gridCol w:w="933"/>
        <w:gridCol w:w="934"/>
        <w:gridCol w:w="934"/>
        <w:gridCol w:w="934"/>
        <w:gridCol w:w="932"/>
        <w:gridCol w:w="934"/>
        <w:gridCol w:w="934"/>
        <w:gridCol w:w="934"/>
      </w:tblGrid>
      <w:tr w:rsidR="00000000">
        <w:trPr>
          <w:trHeight w:val="528"/>
        </w:trPr>
        <w:tc>
          <w:tcPr>
            <w:tcW w:w="714" w:type="pct"/>
            <w:tcBorders>
              <w:top w:val="single" w:sz="4" w:space="0" w:color="000000"/>
              <w:left w:val="single" w:sz="4" w:space="0" w:color="000000"/>
              <w:bottom w:val="single" w:sz="4" w:space="0" w:color="000000"/>
              <w:right w:val="single" w:sz="4" w:space="0" w:color="000000"/>
            </w:tcBorders>
            <w:shd w:val="clear" w:color="auto" w:fill="FFFF99"/>
          </w:tcPr>
          <w:p w:rsidR="00000000" w:rsidRDefault="00D35856">
            <w:pPr>
              <w:keepNext w:val="0"/>
              <w:spacing w:after="0"/>
              <w:jc w:val="left"/>
              <w:rPr>
                <w:rFonts w:ascii="Arial" w:hAnsi="Arial" w:cs="Arial"/>
                <w:b/>
                <w:bCs/>
                <w:color w:val="000000"/>
                <w:sz w:val="20"/>
                <w:szCs w:val="20"/>
                <w:lang w:val="en-US"/>
              </w:rPr>
            </w:pPr>
            <w:r>
              <w:rPr>
                <w:rFonts w:ascii="Arial" w:hAnsi="Arial" w:cs="Arial"/>
                <w:b/>
                <w:bCs/>
                <w:color w:val="000000"/>
                <w:sz w:val="20"/>
                <w:szCs w:val="20"/>
                <w:lang w:val="en-US"/>
              </w:rPr>
              <w:t>Month Received</w:t>
            </w:r>
          </w:p>
        </w:tc>
        <w:tc>
          <w:tcPr>
            <w:tcW w:w="535" w:type="pct"/>
            <w:tcBorders>
              <w:top w:val="single" w:sz="4" w:space="0" w:color="000000"/>
              <w:left w:val="nil"/>
              <w:bottom w:val="single" w:sz="4" w:space="0" w:color="000000"/>
              <w:right w:val="single" w:sz="4" w:space="0" w:color="000000"/>
            </w:tcBorders>
            <w:shd w:val="clear" w:color="auto" w:fill="FFFF99"/>
          </w:tcPr>
          <w:p w:rsidR="00000000" w:rsidRDefault="00D35856">
            <w:pPr>
              <w:spacing w:after="0"/>
              <w:rPr>
                <w:rFonts w:ascii="Arial" w:hAnsi="Arial" w:cs="Arial"/>
                <w:b/>
                <w:bCs/>
                <w:color w:val="000000"/>
                <w:sz w:val="20"/>
                <w:szCs w:val="20"/>
              </w:rPr>
            </w:pPr>
            <w:r>
              <w:rPr>
                <w:rFonts w:ascii="Arial" w:hAnsi="Arial" w:cs="Arial"/>
                <w:b/>
                <w:bCs/>
                <w:color w:val="000000"/>
                <w:sz w:val="20"/>
                <w:szCs w:val="20"/>
              </w:rPr>
              <w:t>CWM</w:t>
            </w:r>
          </w:p>
        </w:tc>
        <w:tc>
          <w:tcPr>
            <w:tcW w:w="536" w:type="pct"/>
            <w:tcBorders>
              <w:top w:val="single" w:sz="4" w:space="0" w:color="000000"/>
              <w:left w:val="nil"/>
              <w:bottom w:val="single" w:sz="4" w:space="0" w:color="000000"/>
              <w:right w:val="single" w:sz="4" w:space="0" w:color="000000"/>
            </w:tcBorders>
            <w:shd w:val="clear" w:color="auto" w:fill="FFFF99"/>
          </w:tcPr>
          <w:p w:rsidR="00000000" w:rsidRDefault="00D35856">
            <w:pPr>
              <w:spacing w:after="0"/>
              <w:rPr>
                <w:rFonts w:ascii="Arial" w:hAnsi="Arial" w:cs="Arial"/>
                <w:b/>
                <w:bCs/>
                <w:color w:val="000000"/>
                <w:sz w:val="20"/>
                <w:szCs w:val="20"/>
              </w:rPr>
            </w:pPr>
            <w:r>
              <w:rPr>
                <w:rFonts w:ascii="Arial" w:hAnsi="Arial" w:cs="Arial"/>
                <w:b/>
                <w:bCs/>
                <w:color w:val="000000"/>
                <w:sz w:val="20"/>
                <w:szCs w:val="20"/>
              </w:rPr>
              <w:t>DWM</w:t>
            </w:r>
          </w:p>
        </w:tc>
        <w:tc>
          <w:tcPr>
            <w:tcW w:w="536" w:type="pct"/>
            <w:tcBorders>
              <w:top w:val="single" w:sz="4" w:space="0" w:color="000000"/>
              <w:left w:val="nil"/>
              <w:bottom w:val="single" w:sz="4" w:space="0" w:color="000000"/>
              <w:right w:val="single" w:sz="4" w:space="0" w:color="000000"/>
            </w:tcBorders>
            <w:shd w:val="clear" w:color="auto" w:fill="FFFF99"/>
          </w:tcPr>
          <w:p w:rsidR="00000000" w:rsidRDefault="00D35856">
            <w:pPr>
              <w:spacing w:after="0"/>
              <w:rPr>
                <w:rFonts w:ascii="Arial" w:hAnsi="Arial" w:cs="Arial"/>
                <w:b/>
                <w:bCs/>
                <w:color w:val="000000"/>
                <w:sz w:val="20"/>
                <w:szCs w:val="20"/>
              </w:rPr>
            </w:pPr>
            <w:r>
              <w:rPr>
                <w:rFonts w:ascii="Arial" w:hAnsi="Arial" w:cs="Arial"/>
                <w:b/>
                <w:bCs/>
                <w:color w:val="000000"/>
                <w:sz w:val="20"/>
                <w:szCs w:val="20"/>
              </w:rPr>
              <w:t>FC</w:t>
            </w:r>
          </w:p>
        </w:tc>
        <w:tc>
          <w:tcPr>
            <w:tcW w:w="536" w:type="pct"/>
            <w:tcBorders>
              <w:top w:val="single" w:sz="4" w:space="0" w:color="000000"/>
              <w:left w:val="nil"/>
              <w:bottom w:val="single" w:sz="4" w:space="0" w:color="000000"/>
              <w:right w:val="single" w:sz="4" w:space="0" w:color="000000"/>
            </w:tcBorders>
            <w:shd w:val="clear" w:color="auto" w:fill="FFFF99"/>
          </w:tcPr>
          <w:p w:rsidR="00000000" w:rsidRDefault="00D35856">
            <w:pPr>
              <w:spacing w:after="0"/>
              <w:rPr>
                <w:rFonts w:ascii="Arial" w:hAnsi="Arial" w:cs="Arial"/>
                <w:b/>
                <w:bCs/>
                <w:color w:val="000000"/>
                <w:sz w:val="20"/>
                <w:szCs w:val="20"/>
              </w:rPr>
            </w:pPr>
            <w:r>
              <w:rPr>
                <w:rFonts w:ascii="Arial" w:hAnsi="Arial" w:cs="Arial"/>
                <w:b/>
                <w:bCs/>
                <w:color w:val="000000"/>
                <w:sz w:val="20"/>
                <w:szCs w:val="20"/>
              </w:rPr>
              <w:t>LE</w:t>
            </w:r>
          </w:p>
        </w:tc>
        <w:tc>
          <w:tcPr>
            <w:tcW w:w="535" w:type="pct"/>
            <w:tcBorders>
              <w:top w:val="single" w:sz="4" w:space="0" w:color="000000"/>
              <w:left w:val="nil"/>
              <w:bottom w:val="single" w:sz="4" w:space="0" w:color="000000"/>
              <w:right w:val="single" w:sz="4" w:space="0" w:color="000000"/>
            </w:tcBorders>
            <w:shd w:val="clear" w:color="auto" w:fill="FFFF99"/>
          </w:tcPr>
          <w:p w:rsidR="00000000" w:rsidRDefault="00D35856">
            <w:pPr>
              <w:spacing w:after="0"/>
              <w:rPr>
                <w:rFonts w:ascii="Arial" w:hAnsi="Arial" w:cs="Arial"/>
                <w:b/>
                <w:bCs/>
                <w:color w:val="000000"/>
                <w:sz w:val="20"/>
                <w:szCs w:val="20"/>
              </w:rPr>
            </w:pPr>
            <w:r>
              <w:rPr>
                <w:rFonts w:ascii="Arial" w:hAnsi="Arial" w:cs="Arial"/>
                <w:b/>
                <w:bCs/>
                <w:color w:val="000000"/>
                <w:sz w:val="20"/>
                <w:szCs w:val="20"/>
              </w:rPr>
              <w:t>S</w:t>
            </w:r>
          </w:p>
        </w:tc>
        <w:tc>
          <w:tcPr>
            <w:tcW w:w="536" w:type="pct"/>
            <w:tcBorders>
              <w:top w:val="single" w:sz="4" w:space="0" w:color="000000"/>
              <w:left w:val="nil"/>
              <w:bottom w:val="single" w:sz="4" w:space="0" w:color="000000"/>
              <w:right w:val="single" w:sz="4" w:space="0" w:color="000000"/>
            </w:tcBorders>
            <w:shd w:val="clear" w:color="auto" w:fill="FFFF99"/>
          </w:tcPr>
          <w:p w:rsidR="00000000" w:rsidRDefault="00D35856">
            <w:pPr>
              <w:spacing w:after="0"/>
              <w:rPr>
                <w:rFonts w:ascii="Arial" w:hAnsi="Arial" w:cs="Arial"/>
                <w:b/>
                <w:bCs/>
                <w:color w:val="000000"/>
                <w:sz w:val="20"/>
                <w:szCs w:val="20"/>
              </w:rPr>
            </w:pPr>
            <w:r>
              <w:rPr>
                <w:rFonts w:ascii="Arial" w:hAnsi="Arial" w:cs="Arial"/>
                <w:b/>
                <w:bCs/>
                <w:color w:val="000000"/>
                <w:sz w:val="20"/>
                <w:szCs w:val="20"/>
              </w:rPr>
              <w:t>TE</w:t>
            </w:r>
          </w:p>
        </w:tc>
        <w:tc>
          <w:tcPr>
            <w:tcW w:w="536" w:type="pct"/>
            <w:tcBorders>
              <w:top w:val="single" w:sz="4" w:space="0" w:color="000000"/>
              <w:left w:val="nil"/>
              <w:bottom w:val="single" w:sz="4" w:space="0" w:color="000000"/>
              <w:right w:val="single" w:sz="4" w:space="0" w:color="000000"/>
            </w:tcBorders>
            <w:shd w:val="clear" w:color="auto" w:fill="FFFF99"/>
          </w:tcPr>
          <w:p w:rsidR="00000000" w:rsidRDefault="00D35856">
            <w:pPr>
              <w:spacing w:after="0"/>
              <w:rPr>
                <w:rFonts w:ascii="Arial" w:hAnsi="Arial" w:cs="Arial"/>
                <w:b/>
                <w:bCs/>
                <w:color w:val="000000"/>
                <w:sz w:val="20"/>
                <w:szCs w:val="20"/>
              </w:rPr>
            </w:pPr>
            <w:r>
              <w:rPr>
                <w:rFonts w:ascii="Arial" w:hAnsi="Arial" w:cs="Arial"/>
                <w:b/>
                <w:bCs/>
                <w:color w:val="000000"/>
                <w:sz w:val="20"/>
                <w:szCs w:val="20"/>
              </w:rPr>
              <w:t>UE</w:t>
            </w:r>
          </w:p>
        </w:tc>
        <w:tc>
          <w:tcPr>
            <w:tcW w:w="536" w:type="pct"/>
            <w:tcBorders>
              <w:top w:val="single" w:sz="4" w:space="0" w:color="000000"/>
              <w:left w:val="nil"/>
              <w:bottom w:val="single" w:sz="4" w:space="0" w:color="000000"/>
              <w:right w:val="single" w:sz="4" w:space="0" w:color="000000"/>
            </w:tcBorders>
            <w:shd w:val="clear" w:color="auto" w:fill="FFFF99"/>
          </w:tcPr>
          <w:p w:rsidR="00000000" w:rsidRDefault="00D35856">
            <w:pPr>
              <w:spacing w:after="0"/>
              <w:rPr>
                <w:rFonts w:ascii="Arial" w:hAnsi="Arial" w:cs="Arial"/>
                <w:sz w:val="20"/>
                <w:szCs w:val="20"/>
              </w:rPr>
            </w:pPr>
            <w:r>
              <w:rPr>
                <w:rFonts w:ascii="Arial" w:hAnsi="Arial" w:cs="Arial"/>
                <w:sz w:val="20"/>
                <w:szCs w:val="20"/>
              </w:rPr>
              <w:t xml:space="preserve">Total </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Jul-05</w:t>
            </w:r>
          </w:p>
        </w:tc>
        <w:tc>
          <w:tcPr>
            <w:tcW w:w="535"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5"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Aug-05</w:t>
            </w:r>
          </w:p>
        </w:tc>
        <w:tc>
          <w:tcPr>
            <w:tcW w:w="535"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r>
              <w:rPr>
                <w:rFonts w:ascii="Arial" w:hAnsi="Arial" w:cs="Arial"/>
                <w:sz w:val="20"/>
                <w:szCs w:val="20"/>
              </w:rPr>
              <w:t> </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r>
              <w:rPr>
                <w:rFonts w:ascii="Arial" w:hAnsi="Arial" w:cs="Arial"/>
                <w:sz w:val="20"/>
                <w:szCs w:val="20"/>
              </w:rPr>
              <w:t> </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r>
              <w:rPr>
                <w:rFonts w:ascii="Arial" w:hAnsi="Arial" w:cs="Arial"/>
                <w:sz w:val="20"/>
                <w:szCs w:val="20"/>
              </w:rPr>
              <w:t> </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r>
              <w:rPr>
                <w:rFonts w:ascii="Arial" w:hAnsi="Arial" w:cs="Arial"/>
                <w:sz w:val="20"/>
                <w:szCs w:val="20"/>
              </w:rPr>
              <w:t> </w:t>
            </w:r>
          </w:p>
        </w:tc>
        <w:tc>
          <w:tcPr>
            <w:tcW w:w="535"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r>
              <w:rPr>
                <w:rFonts w:ascii="Arial" w:hAnsi="Arial" w:cs="Arial"/>
                <w:sz w:val="20"/>
                <w:szCs w:val="20"/>
              </w:rPr>
              <w:t> </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r>
              <w:rPr>
                <w:rFonts w:ascii="Arial" w:hAnsi="Arial" w:cs="Arial"/>
                <w:sz w:val="20"/>
                <w:szCs w:val="20"/>
              </w:rPr>
              <w:t> </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r>
              <w:rPr>
                <w:rFonts w:ascii="Arial" w:hAnsi="Arial" w:cs="Arial"/>
                <w:sz w:val="20"/>
                <w:szCs w:val="20"/>
              </w:rPr>
              <w:t> </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r>
              <w:rPr>
                <w:rFonts w:ascii="Arial" w:hAnsi="Arial" w:cs="Arial"/>
                <w:sz w:val="20"/>
                <w:szCs w:val="20"/>
              </w:rPr>
              <w:t> </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Sep-05</w:t>
            </w:r>
          </w:p>
        </w:tc>
        <w:tc>
          <w:tcPr>
            <w:tcW w:w="535"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r>
              <w:rPr>
                <w:rFonts w:ascii="Arial" w:hAnsi="Arial" w:cs="Arial"/>
                <w:sz w:val="20"/>
                <w:szCs w:val="20"/>
              </w:rPr>
              <w:t> </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r>
              <w:rPr>
                <w:rFonts w:ascii="Arial" w:hAnsi="Arial" w:cs="Arial"/>
                <w:sz w:val="20"/>
                <w:szCs w:val="20"/>
              </w:rPr>
              <w:t> </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2</w:t>
            </w:r>
          </w:p>
        </w:tc>
        <w:tc>
          <w:tcPr>
            <w:tcW w:w="535"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r>
              <w:rPr>
                <w:rFonts w:ascii="Arial" w:hAnsi="Arial" w:cs="Arial"/>
                <w:sz w:val="20"/>
                <w:szCs w:val="20"/>
              </w:rPr>
              <w:t> </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r>
              <w:rPr>
                <w:rFonts w:ascii="Arial" w:hAnsi="Arial" w:cs="Arial"/>
                <w:sz w:val="20"/>
                <w:szCs w:val="20"/>
              </w:rPr>
              <w:t> </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r>
              <w:rPr>
                <w:rFonts w:ascii="Arial" w:hAnsi="Arial" w:cs="Arial"/>
                <w:sz w:val="20"/>
                <w:szCs w:val="20"/>
              </w:rPr>
              <w:t> </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3</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Oct-05</w:t>
            </w:r>
          </w:p>
        </w:tc>
        <w:tc>
          <w:tcPr>
            <w:tcW w:w="535"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r>
              <w:rPr>
                <w:rFonts w:ascii="Arial" w:hAnsi="Arial" w:cs="Arial"/>
                <w:sz w:val="20"/>
                <w:szCs w:val="20"/>
              </w:rPr>
              <w:t> </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5"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3</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3</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Nov-05</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3</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4</w:t>
            </w:r>
          </w:p>
        </w:tc>
        <w:tc>
          <w:tcPr>
            <w:tcW w:w="535"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9</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Dec-05</w:t>
            </w:r>
          </w:p>
        </w:tc>
        <w:tc>
          <w:tcPr>
            <w:tcW w:w="535"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r>
              <w:rPr>
                <w:rFonts w:ascii="Arial" w:hAnsi="Arial" w:cs="Arial"/>
                <w:sz w:val="20"/>
                <w:szCs w:val="20"/>
              </w:rPr>
              <w:t> </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2</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3</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5</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10</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Jan-06</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3</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7</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12</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Feb-06</w:t>
            </w:r>
          </w:p>
        </w:tc>
        <w:tc>
          <w:tcPr>
            <w:tcW w:w="535"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r>
              <w:rPr>
                <w:rFonts w:ascii="Arial" w:hAnsi="Arial" w:cs="Arial"/>
                <w:sz w:val="20"/>
                <w:szCs w:val="20"/>
              </w:rPr>
              <w:t> </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2</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3</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7</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12</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Mar-06</w:t>
            </w:r>
          </w:p>
        </w:tc>
        <w:tc>
          <w:tcPr>
            <w:tcW w:w="535"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r>
              <w:rPr>
                <w:rFonts w:ascii="Arial" w:hAnsi="Arial" w:cs="Arial"/>
                <w:sz w:val="20"/>
                <w:szCs w:val="20"/>
              </w:rPr>
              <w:t> </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3</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2</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16</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21</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Apr-06</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3</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2</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29</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17</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52</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May-06</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3</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15</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10</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23</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51</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Jun-06</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2</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5</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9</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45</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61</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3</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125</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Jul-06</w:t>
            </w:r>
          </w:p>
        </w:tc>
        <w:tc>
          <w:tcPr>
            <w:tcW w:w="535"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r>
              <w:rPr>
                <w:rFonts w:ascii="Arial" w:hAnsi="Arial" w:cs="Arial"/>
                <w:sz w:val="20"/>
                <w:szCs w:val="20"/>
              </w:rPr>
              <w:t> </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2</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2</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6</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5</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6</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21</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Aug-06</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3</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4</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10</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13</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32</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Sep-06</w:t>
            </w:r>
          </w:p>
        </w:tc>
        <w:tc>
          <w:tcPr>
            <w:tcW w:w="535"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r>
              <w:rPr>
                <w:rFonts w:ascii="Arial" w:hAnsi="Arial" w:cs="Arial"/>
                <w:sz w:val="20"/>
                <w:szCs w:val="20"/>
              </w:rPr>
              <w:t> </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3</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5</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7</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9</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24</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Oct-06</w:t>
            </w:r>
          </w:p>
        </w:tc>
        <w:tc>
          <w:tcPr>
            <w:tcW w:w="535"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r>
              <w:rPr>
                <w:rFonts w:ascii="Arial" w:hAnsi="Arial" w:cs="Arial"/>
                <w:sz w:val="20"/>
                <w:szCs w:val="20"/>
              </w:rPr>
              <w:t> </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3</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3</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5</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13</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Nov-06</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3</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11</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14</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21</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2</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52</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Dec-06</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3</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9</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14</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13</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5</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45</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Jan-07</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2</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6</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9</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10</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28</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Feb-07</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2</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4</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5</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14</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Mar-07</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3</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5</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5</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6</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11</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2</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32</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Apr-07</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12</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10</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2</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8</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9</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41</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May-07</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2</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7</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5</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7</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5</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2</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28</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Jun-07</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2</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3</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2</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18</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28</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Jul-07</w:t>
            </w:r>
          </w:p>
        </w:tc>
        <w:tc>
          <w:tcPr>
            <w:tcW w:w="535"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r>
              <w:rPr>
                <w:rFonts w:ascii="Arial" w:hAnsi="Arial" w:cs="Arial"/>
                <w:sz w:val="20"/>
                <w:szCs w:val="20"/>
              </w:rPr>
              <w:t> </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8</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3</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12</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23</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Aug-07</w:t>
            </w:r>
          </w:p>
        </w:tc>
        <w:tc>
          <w:tcPr>
            <w:tcW w:w="535"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r>
              <w:rPr>
                <w:rFonts w:ascii="Arial" w:hAnsi="Arial" w:cs="Arial"/>
                <w:sz w:val="20"/>
                <w:szCs w:val="20"/>
              </w:rPr>
              <w:t> </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7</w:t>
            </w:r>
          </w:p>
        </w:tc>
        <w:tc>
          <w:tcPr>
            <w:tcW w:w="535"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8</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16</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Sep-07</w:t>
            </w:r>
          </w:p>
        </w:tc>
        <w:tc>
          <w:tcPr>
            <w:tcW w:w="535"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r>
              <w:rPr>
                <w:rFonts w:ascii="Arial" w:hAnsi="Arial" w:cs="Arial"/>
                <w:sz w:val="20"/>
                <w:szCs w:val="20"/>
              </w:rPr>
              <w:t> </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3</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6</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8</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12</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29</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Oct-07</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2</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8</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15</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27</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Nov-07</w:t>
            </w:r>
          </w:p>
        </w:tc>
        <w:tc>
          <w:tcPr>
            <w:tcW w:w="535"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r>
              <w:rPr>
                <w:rFonts w:ascii="Arial" w:hAnsi="Arial" w:cs="Arial"/>
                <w:sz w:val="20"/>
                <w:szCs w:val="20"/>
              </w:rPr>
              <w:t> </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4</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3</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2</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2</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sz w:val="20"/>
                <w:szCs w:val="20"/>
              </w:rPr>
            </w:pPr>
            <w:r>
              <w:rPr>
                <w:rFonts w:ascii="Arial" w:hAnsi="Arial" w:cs="Arial"/>
                <w:sz w:val="20"/>
                <w:szCs w:val="20"/>
              </w:rPr>
              <w:t>12</w:t>
            </w:r>
          </w:p>
        </w:tc>
      </w:tr>
      <w:tr w:rsidR="00000000">
        <w:trPr>
          <w:trHeight w:val="264"/>
        </w:trPr>
        <w:tc>
          <w:tcPr>
            <w:tcW w:w="714" w:type="pct"/>
            <w:tcBorders>
              <w:top w:val="nil"/>
              <w:left w:val="single" w:sz="4" w:space="0" w:color="000000"/>
              <w:bottom w:val="single" w:sz="4" w:space="0" w:color="000000"/>
              <w:right w:val="single" w:sz="4" w:space="0" w:color="000000"/>
            </w:tcBorders>
            <w:shd w:val="clear" w:color="auto" w:fill="99CCFF"/>
          </w:tcPr>
          <w:p w:rsidR="00000000" w:rsidRDefault="00D35856">
            <w:pPr>
              <w:keepNext w:val="0"/>
              <w:spacing w:after="0"/>
              <w:jc w:val="right"/>
              <w:rPr>
                <w:rFonts w:ascii="Arial" w:hAnsi="Arial" w:cs="Arial"/>
                <w:color w:val="000000"/>
                <w:sz w:val="20"/>
                <w:szCs w:val="20"/>
                <w:lang w:val="en-US"/>
              </w:rPr>
            </w:pPr>
            <w:r>
              <w:rPr>
                <w:rFonts w:ascii="Arial" w:hAnsi="Arial" w:cs="Arial"/>
                <w:color w:val="000000"/>
                <w:sz w:val="20"/>
                <w:szCs w:val="20"/>
                <w:lang w:val="en-US"/>
              </w:rPr>
              <w:t>Dec-07</w:t>
            </w:r>
          </w:p>
        </w:tc>
        <w:tc>
          <w:tcPr>
            <w:tcW w:w="535" w:type="pct"/>
            <w:tcBorders>
              <w:top w:val="nil"/>
              <w:left w:val="nil"/>
              <w:bottom w:val="single" w:sz="4" w:space="0" w:color="000000"/>
              <w:right w:val="single" w:sz="4" w:space="0" w:color="000000"/>
            </w:tcBorders>
            <w:shd w:val="clear" w:color="auto" w:fill="FFCC99"/>
          </w:tcPr>
          <w:p w:rsidR="00000000" w:rsidRDefault="00D35856">
            <w:pPr>
              <w:spacing w:after="0"/>
              <w:rPr>
                <w:rFonts w:ascii="Arial" w:hAnsi="Arial" w:cs="Arial"/>
                <w:sz w:val="20"/>
                <w:szCs w:val="20"/>
              </w:rPr>
            </w:pPr>
            <w:r>
              <w:rPr>
                <w:rFonts w:ascii="Arial" w:hAnsi="Arial" w:cs="Arial"/>
                <w:sz w:val="20"/>
                <w:szCs w:val="20"/>
              </w:rPr>
              <w:t> </w:t>
            </w:r>
          </w:p>
        </w:tc>
        <w:tc>
          <w:tcPr>
            <w:tcW w:w="536" w:type="pct"/>
            <w:tcBorders>
              <w:top w:val="nil"/>
              <w:left w:val="nil"/>
              <w:bottom w:val="single" w:sz="4" w:space="0" w:color="000000"/>
              <w:right w:val="single" w:sz="4" w:space="0" w:color="000000"/>
            </w:tcBorders>
            <w:shd w:val="clear" w:color="auto" w:fill="FFCC99"/>
          </w:tcPr>
          <w:p w:rsidR="00000000" w:rsidRDefault="00D35856">
            <w:pPr>
              <w:spacing w:after="0"/>
              <w:rPr>
                <w:rFonts w:ascii="Arial" w:hAnsi="Arial" w:cs="Arial"/>
                <w:sz w:val="20"/>
                <w:szCs w:val="20"/>
              </w:rPr>
            </w:pPr>
            <w:r>
              <w:rPr>
                <w:rFonts w:ascii="Arial" w:hAnsi="Arial" w:cs="Arial"/>
                <w:sz w:val="20"/>
                <w:szCs w:val="20"/>
              </w:rPr>
              <w:t> </w:t>
            </w:r>
          </w:p>
        </w:tc>
        <w:tc>
          <w:tcPr>
            <w:tcW w:w="536" w:type="pct"/>
            <w:tcBorders>
              <w:top w:val="nil"/>
              <w:left w:val="nil"/>
              <w:bottom w:val="single" w:sz="4" w:space="0" w:color="000000"/>
              <w:right w:val="single" w:sz="4" w:space="0" w:color="000000"/>
            </w:tcBorders>
            <w:shd w:val="clear" w:color="auto" w:fill="FFCC99"/>
          </w:tcPr>
          <w:p w:rsidR="00000000" w:rsidRDefault="00D35856">
            <w:pPr>
              <w:spacing w:after="0"/>
              <w:rPr>
                <w:rFonts w:ascii="Arial" w:hAnsi="Arial" w:cs="Arial"/>
                <w:sz w:val="20"/>
                <w:szCs w:val="20"/>
              </w:rPr>
            </w:pPr>
            <w:r>
              <w:rPr>
                <w:rFonts w:ascii="Arial" w:hAnsi="Arial" w:cs="Arial"/>
                <w:sz w:val="20"/>
                <w:szCs w:val="20"/>
              </w:rPr>
              <w:t> </w:t>
            </w:r>
          </w:p>
        </w:tc>
        <w:tc>
          <w:tcPr>
            <w:tcW w:w="536" w:type="pct"/>
            <w:tcBorders>
              <w:top w:val="nil"/>
              <w:left w:val="nil"/>
              <w:bottom w:val="single" w:sz="4" w:space="0" w:color="000000"/>
              <w:right w:val="single" w:sz="4" w:space="0" w:color="000000"/>
            </w:tcBorders>
            <w:shd w:val="clear" w:color="auto" w:fill="FFCC99"/>
          </w:tcPr>
          <w:p w:rsidR="00000000" w:rsidRDefault="00D35856">
            <w:pPr>
              <w:spacing w:after="0"/>
              <w:rPr>
                <w:rFonts w:ascii="Arial" w:hAnsi="Arial" w:cs="Arial"/>
                <w:sz w:val="20"/>
                <w:szCs w:val="20"/>
              </w:rPr>
            </w:pPr>
            <w:r>
              <w:rPr>
                <w:rFonts w:ascii="Arial" w:hAnsi="Arial" w:cs="Arial"/>
                <w:sz w:val="20"/>
                <w:szCs w:val="20"/>
              </w:rPr>
              <w:t> </w:t>
            </w:r>
          </w:p>
        </w:tc>
        <w:tc>
          <w:tcPr>
            <w:tcW w:w="535" w:type="pct"/>
            <w:tcBorders>
              <w:top w:val="nil"/>
              <w:left w:val="nil"/>
              <w:bottom w:val="single" w:sz="4" w:space="0" w:color="000000"/>
              <w:right w:val="single" w:sz="4" w:space="0" w:color="000000"/>
            </w:tcBorders>
            <w:shd w:val="clear" w:color="auto" w:fill="FFCC99"/>
          </w:tcPr>
          <w:p w:rsidR="00000000" w:rsidRDefault="00D35856">
            <w:pPr>
              <w:spacing w:after="0"/>
              <w:rPr>
                <w:rFonts w:ascii="Arial" w:hAnsi="Arial" w:cs="Arial"/>
                <w:sz w:val="20"/>
                <w:szCs w:val="20"/>
              </w:rPr>
            </w:pPr>
            <w:r>
              <w:rPr>
                <w:rFonts w:ascii="Arial" w:hAnsi="Arial" w:cs="Arial"/>
                <w:sz w:val="20"/>
                <w:szCs w:val="20"/>
              </w:rPr>
              <w:t> </w:t>
            </w:r>
          </w:p>
        </w:tc>
        <w:tc>
          <w:tcPr>
            <w:tcW w:w="536" w:type="pct"/>
            <w:tcBorders>
              <w:top w:val="nil"/>
              <w:left w:val="nil"/>
              <w:bottom w:val="single" w:sz="4" w:space="0" w:color="000000"/>
              <w:right w:val="single" w:sz="4" w:space="0" w:color="000000"/>
            </w:tcBorders>
            <w:shd w:val="clear" w:color="auto" w:fill="FFCC99"/>
          </w:tcPr>
          <w:p w:rsidR="00000000" w:rsidRDefault="00D35856">
            <w:pPr>
              <w:spacing w:after="0"/>
              <w:rPr>
                <w:rFonts w:ascii="Arial" w:hAnsi="Arial" w:cs="Arial"/>
                <w:sz w:val="20"/>
                <w:szCs w:val="20"/>
              </w:rPr>
            </w:pPr>
            <w:r>
              <w:rPr>
                <w:rFonts w:ascii="Arial" w:hAnsi="Arial" w:cs="Arial"/>
                <w:sz w:val="20"/>
                <w:szCs w:val="20"/>
              </w:rPr>
              <w:t> </w:t>
            </w:r>
          </w:p>
        </w:tc>
        <w:tc>
          <w:tcPr>
            <w:tcW w:w="536" w:type="pct"/>
            <w:tcBorders>
              <w:top w:val="nil"/>
              <w:left w:val="nil"/>
              <w:bottom w:val="single" w:sz="4" w:space="0" w:color="000000"/>
              <w:right w:val="single" w:sz="4" w:space="0" w:color="000000"/>
            </w:tcBorders>
            <w:shd w:val="clear" w:color="auto" w:fill="FFCC99"/>
          </w:tcPr>
          <w:p w:rsidR="00000000" w:rsidRDefault="00D35856">
            <w:pPr>
              <w:spacing w:after="0"/>
              <w:rPr>
                <w:rFonts w:ascii="Arial" w:hAnsi="Arial" w:cs="Arial"/>
                <w:sz w:val="20"/>
                <w:szCs w:val="20"/>
              </w:rPr>
            </w:pPr>
            <w:r>
              <w:rPr>
                <w:rFonts w:ascii="Arial" w:hAnsi="Arial" w:cs="Arial"/>
                <w:sz w:val="20"/>
                <w:szCs w:val="20"/>
              </w:rPr>
              <w:t> </w:t>
            </w:r>
          </w:p>
        </w:tc>
        <w:tc>
          <w:tcPr>
            <w:tcW w:w="536" w:type="pct"/>
            <w:tcBorders>
              <w:top w:val="nil"/>
              <w:left w:val="nil"/>
              <w:bottom w:val="single" w:sz="4" w:space="0" w:color="000000"/>
              <w:right w:val="single" w:sz="4" w:space="0" w:color="000000"/>
            </w:tcBorders>
          </w:tcPr>
          <w:p w:rsidR="00000000" w:rsidRDefault="00D35856">
            <w:pPr>
              <w:spacing w:after="0"/>
              <w:rPr>
                <w:rFonts w:ascii="Arial" w:hAnsi="Arial" w:cs="Arial"/>
                <w:sz w:val="20"/>
                <w:szCs w:val="20"/>
              </w:rPr>
            </w:pPr>
            <w:r>
              <w:rPr>
                <w:rFonts w:ascii="Arial" w:hAnsi="Arial" w:cs="Arial"/>
                <w:sz w:val="20"/>
                <w:szCs w:val="20"/>
              </w:rPr>
              <w:t> </w:t>
            </w:r>
          </w:p>
        </w:tc>
      </w:tr>
      <w:tr w:rsidR="00000000">
        <w:trPr>
          <w:trHeight w:val="528"/>
        </w:trPr>
        <w:tc>
          <w:tcPr>
            <w:tcW w:w="714" w:type="pct"/>
            <w:tcBorders>
              <w:top w:val="nil"/>
              <w:left w:val="single" w:sz="4" w:space="0" w:color="000000"/>
              <w:bottom w:val="single" w:sz="4" w:space="0" w:color="000000"/>
              <w:right w:val="single" w:sz="4" w:space="0" w:color="000000"/>
            </w:tcBorders>
          </w:tcPr>
          <w:p w:rsidR="00000000" w:rsidRDefault="00D35856">
            <w:pPr>
              <w:keepNext w:val="0"/>
              <w:spacing w:after="0"/>
              <w:jc w:val="right"/>
              <w:rPr>
                <w:rFonts w:ascii="Arial" w:hAnsi="Arial" w:cs="Arial"/>
                <w:b/>
                <w:bCs/>
                <w:color w:val="000000"/>
                <w:sz w:val="20"/>
                <w:szCs w:val="20"/>
                <w:lang w:val="en-US"/>
              </w:rPr>
            </w:pPr>
            <w:r>
              <w:rPr>
                <w:rFonts w:ascii="Arial" w:hAnsi="Arial" w:cs="Arial"/>
                <w:b/>
                <w:bCs/>
                <w:color w:val="000000"/>
                <w:sz w:val="20"/>
                <w:szCs w:val="20"/>
                <w:lang w:val="en-US"/>
              </w:rPr>
              <w:t>Total</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b/>
                <w:bCs/>
                <w:sz w:val="20"/>
                <w:szCs w:val="20"/>
              </w:rPr>
            </w:pPr>
            <w:r>
              <w:rPr>
                <w:rFonts w:ascii="Arial" w:hAnsi="Arial" w:cs="Arial"/>
                <w:b/>
                <w:bCs/>
                <w:sz w:val="20"/>
                <w:szCs w:val="20"/>
              </w:rPr>
              <w:t>38</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b/>
                <w:bCs/>
                <w:sz w:val="20"/>
                <w:szCs w:val="20"/>
              </w:rPr>
            </w:pPr>
            <w:r>
              <w:rPr>
                <w:rFonts w:ascii="Arial" w:hAnsi="Arial" w:cs="Arial"/>
                <w:b/>
                <w:bCs/>
                <w:sz w:val="20"/>
                <w:szCs w:val="20"/>
              </w:rPr>
              <w:t>43</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b/>
                <w:bCs/>
                <w:sz w:val="20"/>
                <w:szCs w:val="20"/>
              </w:rPr>
            </w:pPr>
            <w:r>
              <w:rPr>
                <w:rFonts w:ascii="Arial" w:hAnsi="Arial" w:cs="Arial"/>
                <w:b/>
                <w:bCs/>
                <w:sz w:val="20"/>
                <w:szCs w:val="20"/>
              </w:rPr>
              <w:t>17</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b/>
                <w:bCs/>
                <w:sz w:val="20"/>
                <w:szCs w:val="20"/>
              </w:rPr>
            </w:pPr>
            <w:r>
              <w:rPr>
                <w:rFonts w:ascii="Arial" w:hAnsi="Arial" w:cs="Arial"/>
                <w:b/>
                <w:bCs/>
                <w:sz w:val="20"/>
                <w:szCs w:val="20"/>
              </w:rPr>
              <w:t>129</w:t>
            </w:r>
          </w:p>
        </w:tc>
        <w:tc>
          <w:tcPr>
            <w:tcW w:w="535" w:type="pct"/>
            <w:tcBorders>
              <w:top w:val="nil"/>
              <w:left w:val="nil"/>
              <w:bottom w:val="single" w:sz="4" w:space="0" w:color="000000"/>
              <w:right w:val="single" w:sz="4" w:space="0" w:color="000000"/>
            </w:tcBorders>
          </w:tcPr>
          <w:p w:rsidR="00000000" w:rsidRDefault="00D35856">
            <w:pPr>
              <w:spacing w:after="0"/>
              <w:jc w:val="right"/>
              <w:rPr>
                <w:rFonts w:ascii="Arial" w:hAnsi="Arial" w:cs="Arial"/>
                <w:b/>
                <w:bCs/>
                <w:sz w:val="20"/>
                <w:szCs w:val="20"/>
              </w:rPr>
            </w:pPr>
            <w:r>
              <w:rPr>
                <w:rFonts w:ascii="Arial" w:hAnsi="Arial" w:cs="Arial"/>
                <w:b/>
                <w:bCs/>
                <w:sz w:val="20"/>
                <w:szCs w:val="20"/>
              </w:rPr>
              <w:t>202</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b/>
                <w:bCs/>
                <w:sz w:val="20"/>
                <w:szCs w:val="20"/>
              </w:rPr>
            </w:pPr>
            <w:r>
              <w:rPr>
                <w:rFonts w:ascii="Arial" w:hAnsi="Arial" w:cs="Arial"/>
                <w:b/>
                <w:bCs/>
                <w:sz w:val="20"/>
                <w:szCs w:val="20"/>
              </w:rPr>
              <w:t>314</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b/>
                <w:bCs/>
                <w:sz w:val="20"/>
                <w:szCs w:val="20"/>
              </w:rPr>
            </w:pPr>
            <w:r>
              <w:rPr>
                <w:rFonts w:ascii="Arial" w:hAnsi="Arial" w:cs="Arial"/>
                <w:b/>
                <w:bCs/>
                <w:sz w:val="20"/>
                <w:szCs w:val="20"/>
              </w:rPr>
              <w:t>20</w:t>
            </w:r>
          </w:p>
        </w:tc>
        <w:tc>
          <w:tcPr>
            <w:tcW w:w="536" w:type="pct"/>
            <w:tcBorders>
              <w:top w:val="nil"/>
              <w:left w:val="nil"/>
              <w:bottom w:val="single" w:sz="4" w:space="0" w:color="000000"/>
              <w:right w:val="single" w:sz="4" w:space="0" w:color="000000"/>
            </w:tcBorders>
          </w:tcPr>
          <w:p w:rsidR="00000000" w:rsidRDefault="00D35856">
            <w:pPr>
              <w:spacing w:after="0"/>
              <w:jc w:val="right"/>
              <w:rPr>
                <w:rFonts w:ascii="Arial" w:hAnsi="Arial" w:cs="Arial"/>
                <w:b/>
                <w:bCs/>
                <w:sz w:val="20"/>
                <w:szCs w:val="20"/>
              </w:rPr>
            </w:pPr>
            <w:r>
              <w:rPr>
                <w:rFonts w:ascii="Arial" w:hAnsi="Arial" w:cs="Arial"/>
                <w:b/>
                <w:bCs/>
                <w:sz w:val="20"/>
                <w:szCs w:val="20"/>
              </w:rPr>
              <w:t>763</w:t>
            </w:r>
          </w:p>
        </w:tc>
      </w:tr>
    </w:tbl>
    <w:p w:rsidR="00000000" w:rsidRDefault="00D35856">
      <w:pPr>
        <w:keepNext w:val="0"/>
        <w:widowControl w:val="0"/>
      </w:pPr>
    </w:p>
    <w:p w:rsidR="00000000" w:rsidRDefault="00D35856">
      <w:pPr>
        <w:keepNext w:val="0"/>
        <w:widowControl w:val="0"/>
      </w:pPr>
    </w:p>
    <w:p w:rsidR="00000000" w:rsidRDefault="00D35856">
      <w:pPr>
        <w:keepNext w:val="0"/>
        <w:widowControl w:val="0"/>
      </w:pPr>
    </w:p>
    <w:p w:rsidR="00000000" w:rsidRDefault="00D35856">
      <w:pPr>
        <w:pStyle w:val="Heading1A"/>
        <w:rPr>
          <w:color w:val="auto"/>
        </w:rPr>
      </w:pPr>
      <w:r>
        <w:rPr>
          <w:color w:val="auto"/>
        </w:rPr>
        <w:lastRenderedPageBreak/>
        <w:t>Appendix C – WELS water savings</w:t>
      </w:r>
    </w:p>
    <w:tbl>
      <w:tblPr>
        <w:tblW w:w="8292" w:type="dxa"/>
        <w:tblInd w:w="103" w:type="dxa"/>
        <w:tblLook w:val="0000"/>
      </w:tblPr>
      <w:tblGrid>
        <w:gridCol w:w="952"/>
        <w:gridCol w:w="1468"/>
        <w:gridCol w:w="1468"/>
        <w:gridCol w:w="1468"/>
        <w:gridCol w:w="1468"/>
        <w:gridCol w:w="1468"/>
      </w:tblGrid>
      <w:tr w:rsidR="00000000">
        <w:trPr>
          <w:trHeight w:val="315"/>
        </w:trPr>
        <w:tc>
          <w:tcPr>
            <w:tcW w:w="952"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000000" w:rsidRDefault="00D35856">
            <w:pPr>
              <w:spacing w:after="0"/>
              <w:jc w:val="center"/>
              <w:rPr>
                <w:rFonts w:ascii="Arial" w:hAnsi="Arial"/>
                <w:b/>
                <w:sz w:val="20"/>
                <w:lang w:val="en-US"/>
              </w:rPr>
            </w:pPr>
            <w:r>
              <w:rPr>
                <w:rFonts w:ascii="Arial" w:hAnsi="Arial"/>
                <w:b/>
                <w:sz w:val="20"/>
                <w:lang w:val="en-US"/>
              </w:rPr>
              <w:t>Year</w:t>
            </w:r>
          </w:p>
        </w:tc>
        <w:tc>
          <w:tcPr>
            <w:tcW w:w="1468"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000000" w:rsidRDefault="00D35856">
            <w:pPr>
              <w:spacing w:after="0"/>
              <w:jc w:val="center"/>
              <w:rPr>
                <w:rFonts w:ascii="Arial" w:hAnsi="Arial"/>
                <w:b/>
                <w:sz w:val="20"/>
                <w:lang w:val="en-US"/>
              </w:rPr>
            </w:pPr>
            <w:r>
              <w:rPr>
                <w:rFonts w:ascii="Arial" w:hAnsi="Arial"/>
                <w:b/>
                <w:sz w:val="20"/>
                <w:lang w:val="en-US"/>
              </w:rPr>
              <w:t>CWM</w:t>
            </w:r>
          </w:p>
        </w:tc>
        <w:tc>
          <w:tcPr>
            <w:tcW w:w="1468"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000000" w:rsidRDefault="00D35856">
            <w:pPr>
              <w:spacing w:after="0"/>
              <w:jc w:val="center"/>
              <w:rPr>
                <w:rFonts w:ascii="Arial" w:hAnsi="Arial"/>
                <w:b/>
                <w:sz w:val="20"/>
                <w:lang w:val="en-US"/>
              </w:rPr>
            </w:pPr>
            <w:r>
              <w:rPr>
                <w:rFonts w:ascii="Arial" w:hAnsi="Arial"/>
                <w:b/>
                <w:sz w:val="20"/>
                <w:lang w:val="en-US"/>
              </w:rPr>
              <w:t>DWM</w:t>
            </w:r>
          </w:p>
        </w:tc>
        <w:tc>
          <w:tcPr>
            <w:tcW w:w="1468"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000000" w:rsidRDefault="00D35856">
            <w:pPr>
              <w:spacing w:after="0"/>
              <w:jc w:val="center"/>
              <w:rPr>
                <w:rFonts w:ascii="Arial" w:hAnsi="Arial"/>
                <w:b/>
                <w:sz w:val="20"/>
                <w:lang w:val="en-US"/>
              </w:rPr>
            </w:pPr>
            <w:r>
              <w:rPr>
                <w:rFonts w:ascii="Arial" w:hAnsi="Arial"/>
                <w:b/>
                <w:sz w:val="20"/>
                <w:lang w:val="en-US"/>
              </w:rPr>
              <w:t>UE + LE</w:t>
            </w:r>
          </w:p>
        </w:tc>
        <w:tc>
          <w:tcPr>
            <w:tcW w:w="1468"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000000" w:rsidRDefault="00D35856">
            <w:pPr>
              <w:spacing w:after="0"/>
              <w:jc w:val="center"/>
              <w:rPr>
                <w:rFonts w:ascii="Arial" w:hAnsi="Arial"/>
                <w:b/>
                <w:sz w:val="20"/>
                <w:lang w:val="en-US"/>
              </w:rPr>
            </w:pPr>
            <w:r>
              <w:rPr>
                <w:rFonts w:ascii="Arial" w:hAnsi="Arial"/>
                <w:b/>
                <w:sz w:val="20"/>
                <w:lang w:val="en-US"/>
              </w:rPr>
              <w:t>S</w:t>
            </w:r>
          </w:p>
        </w:tc>
        <w:tc>
          <w:tcPr>
            <w:tcW w:w="1468"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000000" w:rsidRDefault="00D35856">
            <w:pPr>
              <w:spacing w:after="0"/>
              <w:jc w:val="center"/>
              <w:rPr>
                <w:rFonts w:ascii="Arial" w:hAnsi="Arial"/>
                <w:b/>
                <w:sz w:val="20"/>
                <w:lang w:val="en-US"/>
              </w:rPr>
            </w:pPr>
            <w:r>
              <w:rPr>
                <w:rFonts w:ascii="Arial" w:hAnsi="Arial"/>
                <w:b/>
                <w:sz w:val="20"/>
                <w:lang w:val="en-US"/>
              </w:rPr>
              <w:t>TE</w:t>
            </w:r>
          </w:p>
        </w:tc>
      </w:tr>
      <w:tr w:rsidR="00000000">
        <w:trPr>
          <w:trHeight w:val="315"/>
        </w:trPr>
        <w:tc>
          <w:tcPr>
            <w:tcW w:w="952"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b/>
                <w:sz w:val="20"/>
                <w:lang w:val="en-US"/>
              </w:rPr>
            </w:pPr>
            <w:r>
              <w:rPr>
                <w:rFonts w:ascii="Arial" w:hAnsi="Arial"/>
                <w:b/>
                <w:sz w:val="20"/>
                <w:lang w:val="en-US"/>
              </w:rPr>
              <w:t>2006</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38</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30</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446</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850</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158</w:t>
            </w:r>
          </w:p>
        </w:tc>
      </w:tr>
      <w:tr w:rsidR="00000000">
        <w:trPr>
          <w:trHeight w:val="315"/>
        </w:trPr>
        <w:tc>
          <w:tcPr>
            <w:tcW w:w="952"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b/>
                <w:sz w:val="20"/>
                <w:lang w:val="en-US"/>
              </w:rPr>
            </w:pPr>
            <w:r>
              <w:rPr>
                <w:rFonts w:ascii="Arial" w:hAnsi="Arial"/>
                <w:b/>
                <w:sz w:val="20"/>
                <w:lang w:val="en-US"/>
              </w:rPr>
              <w:t>2007</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430</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81</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1651</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2465</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317</w:t>
            </w:r>
          </w:p>
        </w:tc>
      </w:tr>
      <w:tr w:rsidR="00000000">
        <w:trPr>
          <w:trHeight w:val="315"/>
        </w:trPr>
        <w:tc>
          <w:tcPr>
            <w:tcW w:w="952"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b/>
                <w:sz w:val="20"/>
                <w:lang w:val="en-US"/>
              </w:rPr>
            </w:pPr>
            <w:r>
              <w:rPr>
                <w:rFonts w:ascii="Arial" w:hAnsi="Arial"/>
                <w:b/>
                <w:sz w:val="20"/>
                <w:lang w:val="en-US"/>
              </w:rPr>
              <w:t>2008</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1185</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153</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3185</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4791</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479</w:t>
            </w:r>
          </w:p>
        </w:tc>
      </w:tr>
      <w:tr w:rsidR="00000000">
        <w:trPr>
          <w:trHeight w:val="315"/>
        </w:trPr>
        <w:tc>
          <w:tcPr>
            <w:tcW w:w="952"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b/>
                <w:sz w:val="20"/>
                <w:lang w:val="en-US"/>
              </w:rPr>
            </w:pPr>
            <w:r>
              <w:rPr>
                <w:rFonts w:ascii="Arial" w:hAnsi="Arial"/>
                <w:b/>
                <w:sz w:val="20"/>
                <w:lang w:val="en-US"/>
              </w:rPr>
              <w:t>2009</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2490</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249</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4743</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7228</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644</w:t>
            </w:r>
          </w:p>
        </w:tc>
      </w:tr>
      <w:tr w:rsidR="00000000">
        <w:trPr>
          <w:trHeight w:val="315"/>
        </w:trPr>
        <w:tc>
          <w:tcPr>
            <w:tcW w:w="952"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b/>
                <w:sz w:val="20"/>
                <w:lang w:val="en-US"/>
              </w:rPr>
            </w:pPr>
            <w:r>
              <w:rPr>
                <w:rFonts w:ascii="Arial" w:hAnsi="Arial"/>
                <w:b/>
                <w:sz w:val="20"/>
                <w:lang w:val="en-US"/>
              </w:rPr>
              <w:t>2010</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4254</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372</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6304</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9794</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813</w:t>
            </w:r>
          </w:p>
        </w:tc>
      </w:tr>
      <w:tr w:rsidR="00000000">
        <w:trPr>
          <w:trHeight w:val="315"/>
        </w:trPr>
        <w:tc>
          <w:tcPr>
            <w:tcW w:w="952"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b/>
                <w:sz w:val="20"/>
                <w:lang w:val="en-US"/>
              </w:rPr>
            </w:pPr>
            <w:r>
              <w:rPr>
                <w:rFonts w:ascii="Arial" w:hAnsi="Arial"/>
                <w:b/>
                <w:sz w:val="20"/>
                <w:lang w:val="en-US"/>
              </w:rPr>
              <w:t>2011</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6476</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522</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7825</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12</w:t>
            </w:r>
            <w:r>
              <w:rPr>
                <w:sz w:val="20"/>
                <w:lang w:val="en-US"/>
              </w:rPr>
              <w:t> </w:t>
            </w:r>
            <w:r>
              <w:rPr>
                <w:rFonts w:ascii="Arial" w:hAnsi="Arial"/>
                <w:sz w:val="20"/>
                <w:lang w:val="en-US"/>
              </w:rPr>
              <w:t>473</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985</w:t>
            </w:r>
          </w:p>
        </w:tc>
      </w:tr>
      <w:tr w:rsidR="00000000">
        <w:trPr>
          <w:trHeight w:val="315"/>
        </w:trPr>
        <w:tc>
          <w:tcPr>
            <w:tcW w:w="952"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b/>
                <w:sz w:val="20"/>
                <w:lang w:val="en-US"/>
              </w:rPr>
            </w:pPr>
            <w:r>
              <w:rPr>
                <w:rFonts w:ascii="Arial" w:hAnsi="Arial"/>
                <w:b/>
                <w:sz w:val="20"/>
                <w:lang w:val="en-US"/>
              </w:rPr>
              <w:t>2012</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8971</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700</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9319</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15</w:t>
            </w:r>
            <w:r>
              <w:rPr>
                <w:sz w:val="20"/>
                <w:lang w:val="en-US"/>
              </w:rPr>
              <w:t> </w:t>
            </w:r>
            <w:r>
              <w:rPr>
                <w:rFonts w:ascii="Arial" w:hAnsi="Arial"/>
                <w:sz w:val="20"/>
                <w:lang w:val="en-US"/>
              </w:rPr>
              <w:t>000</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1157</w:t>
            </w:r>
          </w:p>
        </w:tc>
      </w:tr>
      <w:tr w:rsidR="00000000">
        <w:trPr>
          <w:trHeight w:val="315"/>
        </w:trPr>
        <w:tc>
          <w:tcPr>
            <w:tcW w:w="952"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b/>
                <w:sz w:val="20"/>
                <w:lang w:val="en-US"/>
              </w:rPr>
            </w:pPr>
            <w:r>
              <w:rPr>
                <w:rFonts w:ascii="Arial" w:hAnsi="Arial"/>
                <w:b/>
                <w:sz w:val="20"/>
                <w:lang w:val="en-US"/>
              </w:rPr>
              <w:t>2013</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11</w:t>
            </w:r>
            <w:r>
              <w:rPr>
                <w:sz w:val="20"/>
                <w:lang w:val="en-US"/>
              </w:rPr>
              <w:t> </w:t>
            </w:r>
            <w:r>
              <w:rPr>
                <w:rFonts w:ascii="Arial" w:hAnsi="Arial"/>
                <w:sz w:val="20"/>
                <w:lang w:val="en-US"/>
              </w:rPr>
              <w:t>877</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909</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10</w:t>
            </w:r>
            <w:r>
              <w:rPr>
                <w:sz w:val="20"/>
                <w:lang w:val="en-US"/>
              </w:rPr>
              <w:t> </w:t>
            </w:r>
            <w:r>
              <w:rPr>
                <w:rFonts w:ascii="Arial" w:hAnsi="Arial"/>
                <w:sz w:val="20"/>
                <w:lang w:val="en-US"/>
              </w:rPr>
              <w:t>819</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17</w:t>
            </w:r>
            <w:r>
              <w:rPr>
                <w:rFonts w:ascii="Arial" w:hAnsi="Arial" w:cs="Arial"/>
                <w:sz w:val="20"/>
                <w:lang w:val="en-US"/>
              </w:rPr>
              <w:t>,</w:t>
            </w:r>
            <w:r>
              <w:rPr>
                <w:rFonts w:ascii="Arial" w:hAnsi="Arial"/>
                <w:sz w:val="20"/>
                <w:lang w:val="en-US"/>
              </w:rPr>
              <w:t>446</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1333</w:t>
            </w:r>
          </w:p>
        </w:tc>
      </w:tr>
      <w:tr w:rsidR="00000000">
        <w:trPr>
          <w:trHeight w:val="315"/>
        </w:trPr>
        <w:tc>
          <w:tcPr>
            <w:tcW w:w="952"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b/>
                <w:sz w:val="20"/>
                <w:lang w:val="en-US"/>
              </w:rPr>
            </w:pPr>
            <w:r>
              <w:rPr>
                <w:rFonts w:ascii="Arial" w:hAnsi="Arial"/>
                <w:b/>
                <w:sz w:val="20"/>
                <w:lang w:val="en-US"/>
              </w:rPr>
              <w:t>2014</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15</w:t>
            </w:r>
            <w:r>
              <w:rPr>
                <w:sz w:val="20"/>
                <w:lang w:val="en-US"/>
              </w:rPr>
              <w:t> </w:t>
            </w:r>
            <w:r>
              <w:rPr>
                <w:rFonts w:ascii="Arial" w:hAnsi="Arial"/>
                <w:sz w:val="20"/>
                <w:lang w:val="en-US"/>
              </w:rPr>
              <w:t>197</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1149</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12</w:t>
            </w:r>
            <w:r>
              <w:rPr>
                <w:sz w:val="20"/>
                <w:lang w:val="en-US"/>
              </w:rPr>
              <w:t> </w:t>
            </w:r>
            <w:r>
              <w:rPr>
                <w:rFonts w:ascii="Arial" w:hAnsi="Arial"/>
                <w:sz w:val="20"/>
                <w:lang w:val="en-US"/>
              </w:rPr>
              <w:t>323</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19</w:t>
            </w:r>
            <w:r>
              <w:rPr>
                <w:sz w:val="20"/>
                <w:lang w:val="en-US"/>
              </w:rPr>
              <w:t> </w:t>
            </w:r>
            <w:r>
              <w:rPr>
                <w:rFonts w:ascii="Arial" w:hAnsi="Arial"/>
                <w:sz w:val="20"/>
                <w:lang w:val="en-US"/>
              </w:rPr>
              <w:t>821</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1512</w:t>
            </w:r>
          </w:p>
        </w:tc>
      </w:tr>
      <w:tr w:rsidR="00000000">
        <w:trPr>
          <w:trHeight w:val="315"/>
        </w:trPr>
        <w:tc>
          <w:tcPr>
            <w:tcW w:w="952"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b/>
                <w:sz w:val="20"/>
                <w:lang w:val="en-US"/>
              </w:rPr>
            </w:pPr>
            <w:r>
              <w:rPr>
                <w:rFonts w:ascii="Arial" w:hAnsi="Arial"/>
                <w:b/>
                <w:sz w:val="20"/>
                <w:lang w:val="en-US"/>
              </w:rPr>
              <w:t>2015</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18</w:t>
            </w:r>
            <w:r>
              <w:rPr>
                <w:sz w:val="20"/>
                <w:lang w:val="en-US"/>
              </w:rPr>
              <w:t> </w:t>
            </w:r>
            <w:r>
              <w:rPr>
                <w:rFonts w:ascii="Arial" w:hAnsi="Arial"/>
                <w:sz w:val="20"/>
                <w:lang w:val="en-US"/>
              </w:rPr>
              <w:t>931</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1424</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13</w:t>
            </w:r>
            <w:r>
              <w:rPr>
                <w:sz w:val="20"/>
                <w:lang w:val="en-US"/>
              </w:rPr>
              <w:t> </w:t>
            </w:r>
            <w:r>
              <w:rPr>
                <w:rFonts w:ascii="Arial" w:hAnsi="Arial"/>
                <w:sz w:val="20"/>
                <w:lang w:val="en-US"/>
              </w:rPr>
              <w:t>820</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22</w:t>
            </w:r>
            <w:r>
              <w:rPr>
                <w:sz w:val="20"/>
                <w:lang w:val="en-US"/>
              </w:rPr>
              <w:t> </w:t>
            </w:r>
            <w:r>
              <w:rPr>
                <w:rFonts w:ascii="Arial" w:hAnsi="Arial"/>
                <w:sz w:val="20"/>
                <w:lang w:val="en-US"/>
              </w:rPr>
              <w:t>132</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1694</w:t>
            </w:r>
          </w:p>
        </w:tc>
      </w:tr>
      <w:tr w:rsidR="00000000">
        <w:trPr>
          <w:trHeight w:val="315"/>
        </w:trPr>
        <w:tc>
          <w:tcPr>
            <w:tcW w:w="952"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b/>
                <w:sz w:val="20"/>
                <w:lang w:val="en-US"/>
              </w:rPr>
            </w:pPr>
            <w:r>
              <w:rPr>
                <w:rFonts w:ascii="Arial" w:hAnsi="Arial"/>
                <w:b/>
                <w:sz w:val="20"/>
                <w:lang w:val="en-US"/>
              </w:rPr>
              <w:t>2016</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23</w:t>
            </w:r>
            <w:r>
              <w:rPr>
                <w:sz w:val="20"/>
                <w:lang w:val="en-US"/>
              </w:rPr>
              <w:t> </w:t>
            </w:r>
            <w:r>
              <w:rPr>
                <w:rFonts w:ascii="Arial" w:hAnsi="Arial"/>
                <w:sz w:val="20"/>
                <w:lang w:val="en-US"/>
              </w:rPr>
              <w:t>082</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1735</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15</w:t>
            </w:r>
            <w:r>
              <w:rPr>
                <w:sz w:val="20"/>
                <w:lang w:val="en-US"/>
              </w:rPr>
              <w:t> </w:t>
            </w:r>
            <w:r>
              <w:rPr>
                <w:rFonts w:ascii="Arial" w:hAnsi="Arial"/>
                <w:sz w:val="20"/>
                <w:lang w:val="en-US"/>
              </w:rPr>
              <w:t>310</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24</w:t>
            </w:r>
            <w:r>
              <w:rPr>
                <w:sz w:val="20"/>
                <w:lang w:val="en-US"/>
              </w:rPr>
              <w:t> </w:t>
            </w:r>
            <w:r>
              <w:rPr>
                <w:rFonts w:ascii="Arial" w:hAnsi="Arial"/>
                <w:sz w:val="20"/>
                <w:lang w:val="en-US"/>
              </w:rPr>
              <w:t>366</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1879</w:t>
            </w:r>
          </w:p>
        </w:tc>
      </w:tr>
      <w:tr w:rsidR="00000000">
        <w:trPr>
          <w:trHeight w:val="315"/>
        </w:trPr>
        <w:tc>
          <w:tcPr>
            <w:tcW w:w="952"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b/>
                <w:sz w:val="20"/>
                <w:lang w:val="en-US"/>
              </w:rPr>
            </w:pPr>
            <w:r>
              <w:rPr>
                <w:rFonts w:ascii="Arial" w:hAnsi="Arial"/>
                <w:b/>
                <w:sz w:val="20"/>
                <w:lang w:val="en-US"/>
              </w:rPr>
              <w:t>2017</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27</w:t>
            </w:r>
            <w:r>
              <w:rPr>
                <w:sz w:val="20"/>
                <w:lang w:val="en-US"/>
              </w:rPr>
              <w:t> </w:t>
            </w:r>
            <w:r>
              <w:rPr>
                <w:rFonts w:ascii="Arial" w:hAnsi="Arial"/>
                <w:sz w:val="20"/>
                <w:lang w:val="en-US"/>
              </w:rPr>
              <w:t>168</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2081</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16</w:t>
            </w:r>
            <w:r>
              <w:rPr>
                <w:sz w:val="20"/>
                <w:lang w:val="en-US"/>
              </w:rPr>
              <w:t> </w:t>
            </w:r>
            <w:r>
              <w:rPr>
                <w:rFonts w:ascii="Arial" w:hAnsi="Arial"/>
                <w:sz w:val="20"/>
                <w:lang w:val="en-US"/>
              </w:rPr>
              <w:t>804</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26</w:t>
            </w:r>
            <w:r>
              <w:rPr>
                <w:sz w:val="20"/>
                <w:lang w:val="en-US"/>
              </w:rPr>
              <w:t> </w:t>
            </w:r>
            <w:r>
              <w:rPr>
                <w:rFonts w:ascii="Arial" w:hAnsi="Arial"/>
                <w:sz w:val="20"/>
                <w:lang w:val="en-US"/>
              </w:rPr>
              <w:t>518</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2066</w:t>
            </w:r>
          </w:p>
        </w:tc>
      </w:tr>
      <w:tr w:rsidR="00000000">
        <w:trPr>
          <w:trHeight w:val="315"/>
        </w:trPr>
        <w:tc>
          <w:tcPr>
            <w:tcW w:w="952"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b/>
                <w:sz w:val="20"/>
                <w:lang w:val="en-US"/>
              </w:rPr>
            </w:pPr>
            <w:r>
              <w:rPr>
                <w:rFonts w:ascii="Arial" w:hAnsi="Arial"/>
                <w:b/>
                <w:sz w:val="20"/>
                <w:lang w:val="en-US"/>
              </w:rPr>
              <w:t>2018</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31</w:t>
            </w:r>
            <w:r>
              <w:rPr>
                <w:sz w:val="20"/>
                <w:lang w:val="en-US"/>
              </w:rPr>
              <w:t> </w:t>
            </w:r>
            <w:r>
              <w:rPr>
                <w:rFonts w:ascii="Arial" w:hAnsi="Arial"/>
                <w:sz w:val="20"/>
                <w:lang w:val="en-US"/>
              </w:rPr>
              <w:t>619</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2467</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18</w:t>
            </w:r>
            <w:r>
              <w:rPr>
                <w:sz w:val="20"/>
                <w:lang w:val="en-US"/>
              </w:rPr>
              <w:t> </w:t>
            </w:r>
            <w:r>
              <w:rPr>
                <w:rFonts w:ascii="Arial" w:hAnsi="Arial"/>
                <w:sz w:val="20"/>
                <w:lang w:val="en-US"/>
              </w:rPr>
              <w:t>304</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28</w:t>
            </w:r>
            <w:r>
              <w:rPr>
                <w:sz w:val="20"/>
                <w:lang w:val="en-US"/>
              </w:rPr>
              <w:t> </w:t>
            </w:r>
            <w:r>
              <w:rPr>
                <w:rFonts w:ascii="Arial" w:hAnsi="Arial"/>
                <w:sz w:val="20"/>
                <w:lang w:val="en-US"/>
              </w:rPr>
              <w:t>601</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2257</w:t>
            </w:r>
          </w:p>
        </w:tc>
      </w:tr>
      <w:tr w:rsidR="00000000">
        <w:trPr>
          <w:trHeight w:val="315"/>
        </w:trPr>
        <w:tc>
          <w:tcPr>
            <w:tcW w:w="952"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b/>
                <w:sz w:val="20"/>
                <w:lang w:val="en-US"/>
              </w:rPr>
            </w:pPr>
            <w:r>
              <w:rPr>
                <w:rFonts w:ascii="Arial" w:hAnsi="Arial"/>
                <w:b/>
                <w:sz w:val="20"/>
                <w:lang w:val="en-US"/>
              </w:rPr>
              <w:t>2019</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36</w:t>
            </w:r>
            <w:r>
              <w:rPr>
                <w:sz w:val="20"/>
                <w:lang w:val="en-US"/>
              </w:rPr>
              <w:t> </w:t>
            </w:r>
            <w:r>
              <w:rPr>
                <w:rFonts w:ascii="Arial" w:hAnsi="Arial"/>
                <w:sz w:val="20"/>
                <w:lang w:val="en-US"/>
              </w:rPr>
              <w:t>444</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2892</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19</w:t>
            </w:r>
            <w:r>
              <w:rPr>
                <w:sz w:val="20"/>
                <w:lang w:val="en-US"/>
              </w:rPr>
              <w:t> </w:t>
            </w:r>
            <w:r>
              <w:rPr>
                <w:rFonts w:ascii="Arial" w:hAnsi="Arial"/>
                <w:sz w:val="20"/>
                <w:lang w:val="en-US"/>
              </w:rPr>
              <w:t>802</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30</w:t>
            </w:r>
            <w:r>
              <w:rPr>
                <w:sz w:val="20"/>
                <w:lang w:val="en-US"/>
              </w:rPr>
              <w:t> </w:t>
            </w:r>
            <w:r>
              <w:rPr>
                <w:rFonts w:ascii="Arial" w:hAnsi="Arial"/>
                <w:sz w:val="20"/>
                <w:lang w:val="en-US"/>
              </w:rPr>
              <w:t>617</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2450</w:t>
            </w:r>
          </w:p>
        </w:tc>
      </w:tr>
      <w:tr w:rsidR="00000000">
        <w:trPr>
          <w:trHeight w:val="315"/>
        </w:trPr>
        <w:tc>
          <w:tcPr>
            <w:tcW w:w="952"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b/>
                <w:sz w:val="20"/>
                <w:lang w:val="en-US"/>
              </w:rPr>
            </w:pPr>
            <w:r>
              <w:rPr>
                <w:rFonts w:ascii="Arial" w:hAnsi="Arial"/>
                <w:b/>
                <w:sz w:val="20"/>
                <w:lang w:val="en-US"/>
              </w:rPr>
              <w:t>2020</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41</w:t>
            </w:r>
            <w:r>
              <w:rPr>
                <w:sz w:val="20"/>
                <w:lang w:val="en-US"/>
              </w:rPr>
              <w:t> </w:t>
            </w:r>
            <w:r>
              <w:rPr>
                <w:rFonts w:ascii="Arial" w:hAnsi="Arial"/>
                <w:sz w:val="20"/>
                <w:lang w:val="en-US"/>
              </w:rPr>
              <w:t>653</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3339</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21</w:t>
            </w:r>
            <w:r>
              <w:rPr>
                <w:sz w:val="20"/>
                <w:lang w:val="en-US"/>
              </w:rPr>
              <w:t> </w:t>
            </w:r>
            <w:r>
              <w:rPr>
                <w:rFonts w:ascii="Arial" w:hAnsi="Arial"/>
                <w:sz w:val="20"/>
                <w:lang w:val="en-US"/>
              </w:rPr>
              <w:t>289</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32</w:t>
            </w:r>
            <w:r>
              <w:rPr>
                <w:sz w:val="20"/>
                <w:lang w:val="en-US"/>
              </w:rPr>
              <w:t> </w:t>
            </w:r>
            <w:r>
              <w:rPr>
                <w:rFonts w:ascii="Arial" w:hAnsi="Arial"/>
                <w:sz w:val="20"/>
                <w:lang w:val="en-US"/>
              </w:rPr>
              <w:t>572</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2646</w:t>
            </w:r>
          </w:p>
        </w:tc>
      </w:tr>
      <w:tr w:rsidR="00000000">
        <w:trPr>
          <w:trHeight w:val="315"/>
        </w:trPr>
        <w:tc>
          <w:tcPr>
            <w:tcW w:w="952"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b/>
                <w:sz w:val="20"/>
                <w:lang w:val="en-US"/>
              </w:rPr>
            </w:pPr>
            <w:r>
              <w:rPr>
                <w:rFonts w:ascii="Arial" w:hAnsi="Arial"/>
                <w:b/>
                <w:sz w:val="20"/>
                <w:lang w:val="en-US"/>
              </w:rPr>
              <w:t>2021</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47</w:t>
            </w:r>
            <w:r>
              <w:rPr>
                <w:sz w:val="20"/>
                <w:lang w:val="en-US"/>
              </w:rPr>
              <w:t> </w:t>
            </w:r>
            <w:r>
              <w:rPr>
                <w:rFonts w:ascii="Arial" w:hAnsi="Arial"/>
                <w:sz w:val="20"/>
                <w:lang w:val="en-US"/>
              </w:rPr>
              <w:t>255</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3822</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22</w:t>
            </w:r>
            <w:r>
              <w:rPr>
                <w:sz w:val="20"/>
                <w:lang w:val="en-US"/>
              </w:rPr>
              <w:t> </w:t>
            </w:r>
            <w:r>
              <w:rPr>
                <w:rFonts w:ascii="Arial" w:hAnsi="Arial"/>
                <w:sz w:val="20"/>
                <w:lang w:val="en-US"/>
              </w:rPr>
              <w:t>718</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34</w:t>
            </w:r>
            <w:r>
              <w:rPr>
                <w:sz w:val="20"/>
                <w:lang w:val="en-US"/>
              </w:rPr>
              <w:t> </w:t>
            </w:r>
            <w:r>
              <w:rPr>
                <w:rFonts w:ascii="Arial" w:hAnsi="Arial"/>
                <w:sz w:val="20"/>
                <w:lang w:val="en-US"/>
              </w:rPr>
              <w:t>460</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sz w:val="20"/>
                <w:lang w:val="en-US"/>
              </w:rPr>
            </w:pPr>
            <w:r>
              <w:rPr>
                <w:rFonts w:ascii="Arial" w:hAnsi="Arial"/>
                <w:sz w:val="20"/>
                <w:lang w:val="en-US"/>
              </w:rPr>
              <w:t>2845</w:t>
            </w:r>
          </w:p>
        </w:tc>
      </w:tr>
      <w:tr w:rsidR="00000000">
        <w:trPr>
          <w:trHeight w:val="315"/>
        </w:trPr>
        <w:tc>
          <w:tcPr>
            <w:tcW w:w="952"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b/>
                <w:sz w:val="20"/>
                <w:lang w:val="en-US"/>
              </w:rPr>
            </w:pPr>
            <w:r>
              <w:rPr>
                <w:rFonts w:ascii="Arial" w:hAnsi="Arial"/>
                <w:b/>
                <w:sz w:val="20"/>
                <w:lang w:val="en-US"/>
              </w:rPr>
              <w:t>Total</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b/>
                <w:sz w:val="20"/>
                <w:lang w:val="en-US"/>
              </w:rPr>
            </w:pPr>
            <w:r>
              <w:rPr>
                <w:rFonts w:ascii="Arial" w:hAnsi="Arial"/>
                <w:b/>
                <w:sz w:val="20"/>
                <w:lang w:val="en-US"/>
              </w:rPr>
              <w:t>277</w:t>
            </w:r>
            <w:r>
              <w:rPr>
                <w:b/>
                <w:sz w:val="20"/>
                <w:lang w:val="en-US"/>
              </w:rPr>
              <w:t> </w:t>
            </w:r>
            <w:r>
              <w:rPr>
                <w:rFonts w:ascii="Arial" w:hAnsi="Arial"/>
                <w:b/>
                <w:sz w:val="20"/>
                <w:lang w:val="en-US"/>
              </w:rPr>
              <w:t>072</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b/>
                <w:sz w:val="20"/>
                <w:lang w:val="en-US"/>
              </w:rPr>
            </w:pPr>
            <w:r>
              <w:rPr>
                <w:rFonts w:ascii="Arial" w:hAnsi="Arial"/>
                <w:b/>
                <w:sz w:val="20"/>
                <w:lang w:val="en-US"/>
              </w:rPr>
              <w:t>21</w:t>
            </w:r>
            <w:r>
              <w:rPr>
                <w:b/>
                <w:sz w:val="20"/>
                <w:lang w:val="en-US"/>
              </w:rPr>
              <w:t> </w:t>
            </w:r>
            <w:r>
              <w:rPr>
                <w:rFonts w:ascii="Arial" w:hAnsi="Arial"/>
                <w:b/>
                <w:sz w:val="20"/>
                <w:lang w:val="en-US"/>
              </w:rPr>
              <w:t>925</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b/>
                <w:sz w:val="20"/>
                <w:lang w:val="en-US"/>
              </w:rPr>
            </w:pPr>
            <w:r>
              <w:rPr>
                <w:rFonts w:ascii="Arial" w:hAnsi="Arial"/>
                <w:b/>
                <w:sz w:val="20"/>
                <w:lang w:val="en-US"/>
              </w:rPr>
              <w:t>184</w:t>
            </w:r>
            <w:r>
              <w:rPr>
                <w:b/>
                <w:sz w:val="20"/>
                <w:lang w:val="en-US"/>
              </w:rPr>
              <w:t> </w:t>
            </w:r>
            <w:r>
              <w:rPr>
                <w:rFonts w:ascii="Arial" w:hAnsi="Arial"/>
                <w:b/>
                <w:sz w:val="20"/>
                <w:lang w:val="en-US"/>
              </w:rPr>
              <w:t>662</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b/>
                <w:sz w:val="20"/>
                <w:lang w:val="en-US"/>
              </w:rPr>
            </w:pPr>
            <w:r>
              <w:rPr>
                <w:rFonts w:ascii="Arial" w:hAnsi="Arial"/>
                <w:b/>
                <w:sz w:val="20"/>
                <w:lang w:val="en-US"/>
              </w:rPr>
              <w:t>289</w:t>
            </w:r>
            <w:r>
              <w:rPr>
                <w:b/>
                <w:sz w:val="20"/>
                <w:lang w:val="en-US"/>
              </w:rPr>
              <w:t> </w:t>
            </w:r>
            <w:r>
              <w:rPr>
                <w:rFonts w:ascii="Arial" w:hAnsi="Arial"/>
                <w:b/>
                <w:sz w:val="20"/>
                <w:lang w:val="en-US"/>
              </w:rPr>
              <w:t>133</w:t>
            </w:r>
          </w:p>
        </w:tc>
        <w:tc>
          <w:tcPr>
            <w:tcW w:w="1468" w:type="dxa"/>
            <w:tcBorders>
              <w:top w:val="single" w:sz="4" w:space="0" w:color="auto"/>
              <w:left w:val="single" w:sz="4" w:space="0" w:color="auto"/>
              <w:bottom w:val="single" w:sz="4" w:space="0" w:color="auto"/>
              <w:right w:val="single" w:sz="4" w:space="0" w:color="auto"/>
            </w:tcBorders>
            <w:noWrap/>
            <w:vAlign w:val="bottom"/>
          </w:tcPr>
          <w:p w:rsidR="00000000" w:rsidRDefault="00D35856">
            <w:pPr>
              <w:spacing w:after="0"/>
              <w:jc w:val="right"/>
              <w:rPr>
                <w:rFonts w:ascii="Arial" w:hAnsi="Arial"/>
                <w:b/>
                <w:sz w:val="20"/>
                <w:lang w:val="en-US"/>
              </w:rPr>
            </w:pPr>
            <w:r>
              <w:rPr>
                <w:rFonts w:ascii="Arial" w:hAnsi="Arial"/>
                <w:b/>
                <w:sz w:val="20"/>
                <w:lang w:val="en-US"/>
              </w:rPr>
              <w:t>23</w:t>
            </w:r>
            <w:r>
              <w:rPr>
                <w:b/>
                <w:sz w:val="20"/>
                <w:lang w:val="en-US"/>
              </w:rPr>
              <w:t> </w:t>
            </w:r>
            <w:r>
              <w:rPr>
                <w:rFonts w:ascii="Arial" w:hAnsi="Arial"/>
                <w:b/>
                <w:sz w:val="20"/>
                <w:lang w:val="en-US"/>
              </w:rPr>
              <w:t>234</w:t>
            </w:r>
          </w:p>
        </w:tc>
      </w:tr>
    </w:tbl>
    <w:p w:rsidR="00000000" w:rsidRDefault="00D35856">
      <w:pPr>
        <w:keepNext w:val="0"/>
        <w:widowControl w:val="0"/>
      </w:pPr>
    </w:p>
    <w:p w:rsidR="00000000" w:rsidRDefault="00D35856">
      <w:pPr>
        <w:pStyle w:val="Heading1A"/>
        <w:rPr>
          <w:color w:val="auto"/>
        </w:rPr>
      </w:pPr>
      <w:r>
        <w:rPr>
          <w:color w:val="auto"/>
        </w:rPr>
        <w:lastRenderedPageBreak/>
        <w:t>Appendix D – WELS costs and benefits</w:t>
      </w:r>
    </w:p>
    <w:p w:rsidR="00000000" w:rsidRDefault="00D35856">
      <w:pPr>
        <w:pStyle w:val="Heading3a"/>
      </w:pPr>
      <w:bookmarkStart w:id="265" w:name="_Toc199933780"/>
      <w:r>
        <w:t>Projections of units labelled</w:t>
      </w:r>
      <w:bookmarkEnd w:id="265"/>
    </w:p>
    <w:tbl>
      <w:tblPr>
        <w:tblW w:w="5000" w:type="pct"/>
        <w:tblLook w:val="0000"/>
      </w:tblPr>
      <w:tblGrid>
        <w:gridCol w:w="970"/>
        <w:gridCol w:w="1290"/>
        <w:gridCol w:w="1291"/>
        <w:gridCol w:w="1291"/>
        <w:gridCol w:w="1291"/>
        <w:gridCol w:w="1291"/>
        <w:gridCol w:w="1290"/>
      </w:tblGrid>
      <w:tr w:rsidR="00000000">
        <w:trPr>
          <w:trHeight w:val="264"/>
        </w:trPr>
        <w:tc>
          <w:tcPr>
            <w:tcW w:w="556" w:type="pct"/>
            <w:noWrap/>
            <w:vAlign w:val="bottom"/>
          </w:tcPr>
          <w:p w:rsidR="00000000" w:rsidRDefault="00D35856">
            <w:pPr>
              <w:keepNext w:val="0"/>
              <w:spacing w:after="0"/>
              <w:jc w:val="left"/>
              <w:rPr>
                <w:rFonts w:ascii="Arial" w:hAnsi="Arial" w:cs="Arial"/>
                <w:sz w:val="20"/>
                <w:szCs w:val="20"/>
                <w:lang w:val="en-US"/>
              </w:rPr>
            </w:pPr>
          </w:p>
        </w:tc>
        <w:tc>
          <w:tcPr>
            <w:tcW w:w="740" w:type="pct"/>
            <w:shd w:val="clear" w:color="auto" w:fill="C0C0C0"/>
            <w:noWrap/>
          </w:tcPr>
          <w:p w:rsidR="00000000" w:rsidRDefault="00D35856">
            <w:pPr>
              <w:rPr>
                <w:rFonts w:ascii="Arial" w:hAnsi="Arial" w:cs="Arial"/>
                <w:b/>
                <w:sz w:val="20"/>
                <w:szCs w:val="20"/>
              </w:rPr>
            </w:pPr>
            <w:r>
              <w:rPr>
                <w:rFonts w:ascii="Arial" w:hAnsi="Arial" w:cs="Arial"/>
                <w:b/>
                <w:sz w:val="20"/>
                <w:szCs w:val="20"/>
              </w:rPr>
              <w:t>CWM</w:t>
            </w:r>
          </w:p>
        </w:tc>
        <w:tc>
          <w:tcPr>
            <w:tcW w:w="741" w:type="pct"/>
            <w:shd w:val="clear" w:color="auto" w:fill="C0C0C0"/>
            <w:noWrap/>
          </w:tcPr>
          <w:p w:rsidR="00000000" w:rsidRDefault="00D35856">
            <w:pPr>
              <w:rPr>
                <w:rFonts w:ascii="Arial" w:hAnsi="Arial" w:cs="Arial"/>
                <w:b/>
                <w:sz w:val="20"/>
                <w:szCs w:val="20"/>
              </w:rPr>
            </w:pPr>
            <w:r>
              <w:rPr>
                <w:rFonts w:ascii="Arial" w:hAnsi="Arial" w:cs="Arial"/>
                <w:b/>
                <w:sz w:val="20"/>
                <w:szCs w:val="20"/>
              </w:rPr>
              <w:t>DWM</w:t>
            </w:r>
          </w:p>
        </w:tc>
        <w:tc>
          <w:tcPr>
            <w:tcW w:w="741" w:type="pct"/>
            <w:shd w:val="clear" w:color="auto" w:fill="C0C0C0"/>
            <w:noWrap/>
          </w:tcPr>
          <w:p w:rsidR="00000000" w:rsidRDefault="00D35856">
            <w:pPr>
              <w:rPr>
                <w:rFonts w:ascii="Arial" w:hAnsi="Arial" w:cs="Arial"/>
                <w:b/>
                <w:sz w:val="20"/>
                <w:szCs w:val="20"/>
              </w:rPr>
            </w:pPr>
            <w:r>
              <w:rPr>
                <w:rFonts w:ascii="Arial" w:hAnsi="Arial" w:cs="Arial"/>
                <w:b/>
                <w:sz w:val="20"/>
                <w:szCs w:val="20"/>
              </w:rPr>
              <w:t>LE</w:t>
            </w:r>
          </w:p>
        </w:tc>
        <w:tc>
          <w:tcPr>
            <w:tcW w:w="741" w:type="pct"/>
            <w:shd w:val="clear" w:color="auto" w:fill="C0C0C0"/>
            <w:noWrap/>
          </w:tcPr>
          <w:p w:rsidR="00000000" w:rsidRDefault="00D35856">
            <w:pPr>
              <w:rPr>
                <w:rFonts w:ascii="Arial" w:hAnsi="Arial" w:cs="Arial"/>
                <w:b/>
                <w:sz w:val="20"/>
                <w:szCs w:val="20"/>
              </w:rPr>
            </w:pPr>
            <w:r>
              <w:rPr>
                <w:rFonts w:ascii="Arial" w:hAnsi="Arial" w:cs="Arial"/>
                <w:b/>
                <w:sz w:val="20"/>
                <w:szCs w:val="20"/>
              </w:rPr>
              <w:t>S</w:t>
            </w:r>
          </w:p>
        </w:tc>
        <w:tc>
          <w:tcPr>
            <w:tcW w:w="741" w:type="pct"/>
            <w:shd w:val="clear" w:color="auto" w:fill="C0C0C0"/>
            <w:noWrap/>
          </w:tcPr>
          <w:p w:rsidR="00000000" w:rsidRDefault="00D35856">
            <w:pPr>
              <w:rPr>
                <w:rFonts w:ascii="Arial" w:hAnsi="Arial" w:cs="Arial"/>
                <w:b/>
                <w:sz w:val="20"/>
                <w:szCs w:val="20"/>
              </w:rPr>
            </w:pPr>
            <w:r>
              <w:rPr>
                <w:rFonts w:ascii="Arial" w:hAnsi="Arial" w:cs="Arial"/>
                <w:b/>
                <w:sz w:val="20"/>
                <w:szCs w:val="20"/>
              </w:rPr>
              <w:t>TE</w:t>
            </w:r>
          </w:p>
        </w:tc>
        <w:tc>
          <w:tcPr>
            <w:tcW w:w="741" w:type="pct"/>
            <w:shd w:val="clear" w:color="auto" w:fill="C0C0C0"/>
            <w:noWrap/>
          </w:tcPr>
          <w:p w:rsidR="00000000" w:rsidRDefault="00D35856">
            <w:pPr>
              <w:rPr>
                <w:rFonts w:ascii="Arial" w:hAnsi="Arial" w:cs="Arial"/>
                <w:b/>
                <w:sz w:val="20"/>
                <w:szCs w:val="20"/>
              </w:rPr>
            </w:pPr>
            <w:r>
              <w:rPr>
                <w:rFonts w:ascii="Arial" w:hAnsi="Arial" w:cs="Arial"/>
                <w:b/>
                <w:sz w:val="20"/>
                <w:szCs w:val="20"/>
              </w:rPr>
              <w:t>UE</w:t>
            </w:r>
          </w:p>
        </w:tc>
      </w:tr>
      <w:tr w:rsidR="00000000">
        <w:trPr>
          <w:trHeight w:val="264"/>
        </w:trPr>
        <w:tc>
          <w:tcPr>
            <w:tcW w:w="556"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2007</w:t>
            </w:r>
          </w:p>
        </w:tc>
        <w:tc>
          <w:tcPr>
            <w:tcW w:w="740"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820000</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283255</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737003</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681528</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1022293</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62081</w:t>
            </w:r>
          </w:p>
        </w:tc>
      </w:tr>
      <w:tr w:rsidR="00000000">
        <w:trPr>
          <w:trHeight w:val="264"/>
        </w:trPr>
        <w:tc>
          <w:tcPr>
            <w:tcW w:w="556" w:type="pct"/>
            <w:noWrap/>
            <w:vAlign w:val="bottom"/>
          </w:tcPr>
          <w:p w:rsidR="00000000" w:rsidRDefault="00D35856">
            <w:pPr>
              <w:keepNext w:val="0"/>
              <w:spacing w:after="0"/>
              <w:jc w:val="right"/>
              <w:rPr>
                <w:rFonts w:ascii="Arial" w:hAnsi="Arial" w:cs="Arial"/>
                <w:i/>
                <w:iCs/>
                <w:sz w:val="20"/>
                <w:szCs w:val="20"/>
                <w:lang w:val="en-US"/>
              </w:rPr>
            </w:pPr>
            <w:r>
              <w:rPr>
                <w:rFonts w:ascii="Arial" w:hAnsi="Arial" w:cs="Arial"/>
                <w:i/>
                <w:iCs/>
                <w:sz w:val="20"/>
                <w:szCs w:val="20"/>
                <w:lang w:val="en-US"/>
              </w:rPr>
              <w:t>2008</w:t>
            </w:r>
          </w:p>
        </w:tc>
        <w:tc>
          <w:tcPr>
            <w:tcW w:w="740"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850000</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296002</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762852</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696185</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1044278</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63135</w:t>
            </w:r>
          </w:p>
        </w:tc>
      </w:tr>
      <w:tr w:rsidR="00000000">
        <w:trPr>
          <w:trHeight w:val="264"/>
        </w:trPr>
        <w:tc>
          <w:tcPr>
            <w:tcW w:w="556" w:type="pct"/>
            <w:noWrap/>
            <w:vAlign w:val="bottom"/>
          </w:tcPr>
          <w:p w:rsidR="00000000" w:rsidRDefault="00D35856">
            <w:pPr>
              <w:keepNext w:val="0"/>
              <w:spacing w:after="0"/>
              <w:jc w:val="right"/>
              <w:rPr>
                <w:rFonts w:ascii="Arial" w:hAnsi="Arial" w:cs="Arial"/>
                <w:i/>
                <w:iCs/>
                <w:sz w:val="20"/>
                <w:szCs w:val="20"/>
                <w:lang w:val="en-US"/>
              </w:rPr>
            </w:pPr>
            <w:r>
              <w:rPr>
                <w:rFonts w:ascii="Arial" w:hAnsi="Arial" w:cs="Arial"/>
                <w:i/>
                <w:iCs/>
                <w:sz w:val="20"/>
                <w:szCs w:val="20"/>
                <w:lang w:val="en-US"/>
              </w:rPr>
              <w:t>2009</w:t>
            </w:r>
          </w:p>
        </w:tc>
        <w:tc>
          <w:tcPr>
            <w:tcW w:w="740"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850000</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309322</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788253</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709258</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1063888</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64213</w:t>
            </w:r>
          </w:p>
        </w:tc>
      </w:tr>
      <w:tr w:rsidR="00000000">
        <w:trPr>
          <w:trHeight w:val="264"/>
        </w:trPr>
        <w:tc>
          <w:tcPr>
            <w:tcW w:w="556" w:type="pct"/>
            <w:noWrap/>
            <w:vAlign w:val="bottom"/>
          </w:tcPr>
          <w:p w:rsidR="00000000" w:rsidRDefault="00D35856">
            <w:pPr>
              <w:keepNext w:val="0"/>
              <w:spacing w:after="0"/>
              <w:jc w:val="right"/>
              <w:rPr>
                <w:rFonts w:ascii="Arial" w:hAnsi="Arial" w:cs="Arial"/>
                <w:i/>
                <w:iCs/>
                <w:sz w:val="20"/>
                <w:szCs w:val="20"/>
                <w:lang w:val="en-US"/>
              </w:rPr>
            </w:pPr>
            <w:r>
              <w:rPr>
                <w:rFonts w:ascii="Arial" w:hAnsi="Arial" w:cs="Arial"/>
                <w:i/>
                <w:iCs/>
                <w:sz w:val="20"/>
                <w:szCs w:val="20"/>
                <w:lang w:val="en-US"/>
              </w:rPr>
              <w:t>2010</w:t>
            </w:r>
          </w:p>
        </w:tc>
        <w:tc>
          <w:tcPr>
            <w:tcW w:w="740"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850000</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323242</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811499</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726005</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1089008</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65318</w:t>
            </w:r>
          </w:p>
        </w:tc>
      </w:tr>
      <w:tr w:rsidR="00000000">
        <w:trPr>
          <w:trHeight w:val="264"/>
        </w:trPr>
        <w:tc>
          <w:tcPr>
            <w:tcW w:w="556" w:type="pct"/>
            <w:noWrap/>
            <w:vAlign w:val="bottom"/>
          </w:tcPr>
          <w:p w:rsidR="00000000" w:rsidRDefault="00D35856">
            <w:pPr>
              <w:keepNext w:val="0"/>
              <w:spacing w:after="0"/>
              <w:jc w:val="right"/>
              <w:rPr>
                <w:rFonts w:ascii="Arial" w:hAnsi="Arial" w:cs="Arial"/>
                <w:i/>
                <w:iCs/>
                <w:sz w:val="20"/>
                <w:szCs w:val="20"/>
                <w:lang w:val="en-US"/>
              </w:rPr>
            </w:pPr>
            <w:r>
              <w:rPr>
                <w:rFonts w:ascii="Arial" w:hAnsi="Arial" w:cs="Arial"/>
                <w:i/>
                <w:iCs/>
                <w:sz w:val="20"/>
                <w:szCs w:val="20"/>
                <w:lang w:val="en-US"/>
              </w:rPr>
              <w:t>2011</w:t>
            </w:r>
          </w:p>
        </w:tc>
        <w:tc>
          <w:tcPr>
            <w:tcW w:w="740"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850000</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337787</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809297</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739869</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1109803</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66396</w:t>
            </w:r>
          </w:p>
        </w:tc>
      </w:tr>
      <w:tr w:rsidR="00000000">
        <w:trPr>
          <w:trHeight w:val="264"/>
        </w:trPr>
        <w:tc>
          <w:tcPr>
            <w:tcW w:w="556" w:type="pct"/>
            <w:noWrap/>
            <w:vAlign w:val="bottom"/>
          </w:tcPr>
          <w:p w:rsidR="00000000" w:rsidRDefault="00D35856">
            <w:pPr>
              <w:keepNext w:val="0"/>
              <w:spacing w:after="0"/>
              <w:jc w:val="right"/>
              <w:rPr>
                <w:rFonts w:ascii="Arial" w:hAnsi="Arial" w:cs="Arial"/>
                <w:i/>
                <w:iCs/>
                <w:sz w:val="20"/>
                <w:szCs w:val="20"/>
                <w:lang w:val="en-US"/>
              </w:rPr>
            </w:pPr>
            <w:r>
              <w:rPr>
                <w:rFonts w:ascii="Arial" w:hAnsi="Arial" w:cs="Arial"/>
                <w:i/>
                <w:iCs/>
                <w:sz w:val="20"/>
                <w:szCs w:val="20"/>
                <w:lang w:val="en-US"/>
              </w:rPr>
              <w:t>2012</w:t>
            </w:r>
          </w:p>
        </w:tc>
        <w:tc>
          <w:tcPr>
            <w:tcW w:w="740"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850000</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349610</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783580</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741449</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1112173</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67395</w:t>
            </w:r>
          </w:p>
        </w:tc>
      </w:tr>
      <w:tr w:rsidR="00000000">
        <w:trPr>
          <w:trHeight w:val="264"/>
        </w:trPr>
        <w:tc>
          <w:tcPr>
            <w:tcW w:w="556" w:type="pct"/>
            <w:noWrap/>
            <w:vAlign w:val="bottom"/>
          </w:tcPr>
          <w:p w:rsidR="00000000" w:rsidRDefault="00D35856">
            <w:pPr>
              <w:keepNext w:val="0"/>
              <w:spacing w:after="0"/>
              <w:jc w:val="right"/>
              <w:rPr>
                <w:rFonts w:ascii="Arial" w:hAnsi="Arial" w:cs="Arial"/>
                <w:i/>
                <w:iCs/>
                <w:sz w:val="20"/>
                <w:szCs w:val="20"/>
                <w:lang w:val="en-US"/>
              </w:rPr>
            </w:pPr>
            <w:r>
              <w:rPr>
                <w:rFonts w:ascii="Arial" w:hAnsi="Arial" w:cs="Arial"/>
                <w:i/>
                <w:iCs/>
                <w:sz w:val="20"/>
                <w:szCs w:val="20"/>
                <w:lang w:val="en-US"/>
              </w:rPr>
              <w:t>2013</w:t>
            </w:r>
          </w:p>
        </w:tc>
        <w:tc>
          <w:tcPr>
            <w:tcW w:w="740"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819567</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361846</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793885</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754112</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1131169</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68406</w:t>
            </w:r>
          </w:p>
        </w:tc>
      </w:tr>
      <w:tr w:rsidR="00000000">
        <w:trPr>
          <w:trHeight w:val="264"/>
        </w:trPr>
        <w:tc>
          <w:tcPr>
            <w:tcW w:w="556" w:type="pct"/>
            <w:noWrap/>
            <w:vAlign w:val="bottom"/>
          </w:tcPr>
          <w:p w:rsidR="00000000" w:rsidRDefault="00D35856">
            <w:pPr>
              <w:keepNext w:val="0"/>
              <w:spacing w:after="0"/>
              <w:jc w:val="right"/>
              <w:rPr>
                <w:rFonts w:ascii="Arial" w:hAnsi="Arial" w:cs="Arial"/>
                <w:i/>
                <w:iCs/>
                <w:sz w:val="20"/>
                <w:szCs w:val="20"/>
                <w:lang w:val="en-US"/>
              </w:rPr>
            </w:pPr>
            <w:r>
              <w:rPr>
                <w:rFonts w:ascii="Arial" w:hAnsi="Arial" w:cs="Arial"/>
                <w:i/>
                <w:iCs/>
                <w:sz w:val="20"/>
                <w:szCs w:val="20"/>
                <w:lang w:val="en-US"/>
              </w:rPr>
              <w:t>2014</w:t>
            </w:r>
          </w:p>
        </w:tc>
        <w:tc>
          <w:tcPr>
            <w:tcW w:w="740"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844154</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374511</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805877</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767919</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1151879</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69431</w:t>
            </w:r>
          </w:p>
        </w:tc>
      </w:tr>
      <w:tr w:rsidR="00000000">
        <w:trPr>
          <w:trHeight w:val="264"/>
        </w:trPr>
        <w:tc>
          <w:tcPr>
            <w:tcW w:w="556" w:type="pct"/>
            <w:noWrap/>
            <w:vAlign w:val="bottom"/>
          </w:tcPr>
          <w:p w:rsidR="00000000" w:rsidRDefault="00D35856">
            <w:pPr>
              <w:keepNext w:val="0"/>
              <w:spacing w:after="0"/>
              <w:jc w:val="right"/>
              <w:rPr>
                <w:rFonts w:ascii="Arial" w:hAnsi="Arial" w:cs="Arial"/>
                <w:i/>
                <w:iCs/>
                <w:sz w:val="20"/>
                <w:szCs w:val="20"/>
                <w:lang w:val="en-US"/>
              </w:rPr>
            </w:pPr>
            <w:r>
              <w:rPr>
                <w:rFonts w:ascii="Arial" w:hAnsi="Arial" w:cs="Arial"/>
                <w:i/>
                <w:iCs/>
                <w:sz w:val="20"/>
                <w:szCs w:val="20"/>
                <w:lang w:val="en-US"/>
              </w:rPr>
              <w:t>2015</w:t>
            </w:r>
          </w:p>
        </w:tc>
        <w:tc>
          <w:tcPr>
            <w:tcW w:w="740"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869478</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387619</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813904</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783293</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1174939</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70462</w:t>
            </w:r>
          </w:p>
        </w:tc>
      </w:tr>
      <w:tr w:rsidR="00000000">
        <w:trPr>
          <w:trHeight w:val="264"/>
        </w:trPr>
        <w:tc>
          <w:tcPr>
            <w:tcW w:w="556" w:type="pct"/>
            <w:noWrap/>
            <w:vAlign w:val="bottom"/>
          </w:tcPr>
          <w:p w:rsidR="00000000" w:rsidRDefault="00D35856">
            <w:pPr>
              <w:keepNext w:val="0"/>
              <w:spacing w:after="0"/>
              <w:jc w:val="right"/>
              <w:rPr>
                <w:rFonts w:ascii="Arial" w:hAnsi="Arial" w:cs="Arial"/>
                <w:i/>
                <w:iCs/>
                <w:sz w:val="20"/>
                <w:szCs w:val="20"/>
                <w:lang w:val="en-US"/>
              </w:rPr>
            </w:pPr>
            <w:r>
              <w:rPr>
                <w:rFonts w:ascii="Arial" w:hAnsi="Arial" w:cs="Arial"/>
                <w:i/>
                <w:iCs/>
                <w:sz w:val="20"/>
                <w:szCs w:val="20"/>
                <w:lang w:val="en-US"/>
              </w:rPr>
              <w:t>2016</w:t>
            </w:r>
          </w:p>
        </w:tc>
        <w:tc>
          <w:tcPr>
            <w:tcW w:w="740"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895563</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401186</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805893</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794302</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1191452</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71458</w:t>
            </w:r>
          </w:p>
        </w:tc>
      </w:tr>
      <w:tr w:rsidR="00000000">
        <w:trPr>
          <w:trHeight w:val="264"/>
        </w:trPr>
        <w:tc>
          <w:tcPr>
            <w:tcW w:w="556" w:type="pct"/>
            <w:noWrap/>
            <w:vAlign w:val="bottom"/>
          </w:tcPr>
          <w:p w:rsidR="00000000" w:rsidRDefault="00D35856">
            <w:pPr>
              <w:keepNext w:val="0"/>
              <w:spacing w:after="0"/>
              <w:jc w:val="right"/>
              <w:rPr>
                <w:rFonts w:ascii="Arial" w:hAnsi="Arial" w:cs="Arial"/>
                <w:i/>
                <w:iCs/>
                <w:sz w:val="20"/>
                <w:szCs w:val="20"/>
                <w:lang w:val="en-US"/>
              </w:rPr>
            </w:pPr>
            <w:r>
              <w:rPr>
                <w:rFonts w:ascii="Arial" w:hAnsi="Arial" w:cs="Arial"/>
                <w:i/>
                <w:iCs/>
                <w:sz w:val="20"/>
                <w:szCs w:val="20"/>
                <w:lang w:val="en-US"/>
              </w:rPr>
              <w:t>2017</w:t>
            </w:r>
          </w:p>
        </w:tc>
        <w:tc>
          <w:tcPr>
            <w:tcW w:w="740"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913474</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413221</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811343</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806900</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1210350</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72452</w:t>
            </w:r>
          </w:p>
        </w:tc>
      </w:tr>
      <w:tr w:rsidR="00000000">
        <w:trPr>
          <w:trHeight w:val="264"/>
        </w:trPr>
        <w:tc>
          <w:tcPr>
            <w:tcW w:w="556" w:type="pct"/>
            <w:noWrap/>
            <w:vAlign w:val="bottom"/>
          </w:tcPr>
          <w:p w:rsidR="00000000" w:rsidRDefault="00D35856">
            <w:pPr>
              <w:keepNext w:val="0"/>
              <w:spacing w:after="0"/>
              <w:jc w:val="right"/>
              <w:rPr>
                <w:rFonts w:ascii="Arial" w:hAnsi="Arial" w:cs="Arial"/>
                <w:i/>
                <w:iCs/>
                <w:sz w:val="20"/>
                <w:szCs w:val="20"/>
                <w:lang w:val="en-US"/>
              </w:rPr>
            </w:pPr>
            <w:r>
              <w:rPr>
                <w:rFonts w:ascii="Arial" w:hAnsi="Arial" w:cs="Arial"/>
                <w:i/>
                <w:iCs/>
                <w:sz w:val="20"/>
                <w:szCs w:val="20"/>
                <w:lang w:val="en-US"/>
              </w:rPr>
              <w:t>2018</w:t>
            </w:r>
          </w:p>
        </w:tc>
        <w:tc>
          <w:tcPr>
            <w:tcW w:w="740"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931743</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425618</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820623</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818750</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1228126</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73454</w:t>
            </w:r>
          </w:p>
        </w:tc>
      </w:tr>
      <w:tr w:rsidR="00000000">
        <w:trPr>
          <w:trHeight w:val="264"/>
        </w:trPr>
        <w:tc>
          <w:tcPr>
            <w:tcW w:w="556" w:type="pct"/>
            <w:noWrap/>
            <w:vAlign w:val="bottom"/>
          </w:tcPr>
          <w:p w:rsidR="00000000" w:rsidRDefault="00D35856">
            <w:pPr>
              <w:keepNext w:val="0"/>
              <w:spacing w:after="0"/>
              <w:jc w:val="right"/>
              <w:rPr>
                <w:rFonts w:ascii="Arial" w:hAnsi="Arial" w:cs="Arial"/>
                <w:i/>
                <w:iCs/>
                <w:sz w:val="20"/>
                <w:szCs w:val="20"/>
                <w:lang w:val="en-US"/>
              </w:rPr>
            </w:pPr>
            <w:r>
              <w:rPr>
                <w:rFonts w:ascii="Arial" w:hAnsi="Arial" w:cs="Arial"/>
                <w:i/>
                <w:iCs/>
                <w:sz w:val="20"/>
                <w:szCs w:val="20"/>
                <w:lang w:val="en-US"/>
              </w:rPr>
              <w:t>2019</w:t>
            </w:r>
          </w:p>
        </w:tc>
        <w:tc>
          <w:tcPr>
            <w:tcW w:w="740"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950378</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438386</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828742</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830239</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1245358</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74466</w:t>
            </w:r>
          </w:p>
        </w:tc>
      </w:tr>
      <w:tr w:rsidR="00000000">
        <w:trPr>
          <w:trHeight w:val="264"/>
        </w:trPr>
        <w:tc>
          <w:tcPr>
            <w:tcW w:w="556" w:type="pct"/>
            <w:noWrap/>
            <w:vAlign w:val="bottom"/>
          </w:tcPr>
          <w:p w:rsidR="00000000" w:rsidRDefault="00D35856">
            <w:pPr>
              <w:keepNext w:val="0"/>
              <w:spacing w:after="0"/>
              <w:jc w:val="right"/>
              <w:rPr>
                <w:rFonts w:ascii="Arial" w:hAnsi="Arial" w:cs="Arial"/>
                <w:i/>
                <w:iCs/>
                <w:sz w:val="20"/>
                <w:szCs w:val="20"/>
                <w:lang w:val="en-US"/>
              </w:rPr>
            </w:pPr>
            <w:r>
              <w:rPr>
                <w:rFonts w:ascii="Arial" w:hAnsi="Arial" w:cs="Arial"/>
                <w:i/>
                <w:iCs/>
                <w:sz w:val="20"/>
                <w:szCs w:val="20"/>
                <w:lang w:val="en-US"/>
              </w:rPr>
              <w:t>2020</w:t>
            </w:r>
          </w:p>
        </w:tc>
        <w:tc>
          <w:tcPr>
            <w:tcW w:w="740"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969386</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451538</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829043</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842807</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1264211</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75475</w:t>
            </w:r>
          </w:p>
        </w:tc>
      </w:tr>
      <w:tr w:rsidR="00000000">
        <w:trPr>
          <w:trHeight w:val="276"/>
        </w:trPr>
        <w:tc>
          <w:tcPr>
            <w:tcW w:w="556" w:type="pct"/>
            <w:noWrap/>
            <w:vAlign w:val="bottom"/>
          </w:tcPr>
          <w:p w:rsidR="00000000" w:rsidRDefault="00D35856">
            <w:pPr>
              <w:keepNext w:val="0"/>
              <w:spacing w:after="0"/>
              <w:jc w:val="right"/>
              <w:rPr>
                <w:rFonts w:ascii="Arial" w:hAnsi="Arial" w:cs="Arial"/>
                <w:i/>
                <w:iCs/>
                <w:sz w:val="20"/>
                <w:szCs w:val="20"/>
                <w:lang w:val="en-US"/>
              </w:rPr>
            </w:pPr>
            <w:r>
              <w:rPr>
                <w:rFonts w:ascii="Arial" w:hAnsi="Arial" w:cs="Arial"/>
                <w:i/>
                <w:iCs/>
                <w:sz w:val="20"/>
                <w:szCs w:val="20"/>
                <w:lang w:val="en-US"/>
              </w:rPr>
              <w:t>2021</w:t>
            </w:r>
          </w:p>
        </w:tc>
        <w:tc>
          <w:tcPr>
            <w:tcW w:w="740"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988774</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465084</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822747</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852188</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1278282</w:t>
            </w:r>
          </w:p>
        </w:tc>
        <w:tc>
          <w:tcPr>
            <w:tcW w:w="741" w:type="pct"/>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76468</w:t>
            </w:r>
          </w:p>
        </w:tc>
      </w:tr>
    </w:tbl>
    <w:p w:rsidR="00000000" w:rsidRDefault="00D35856">
      <w:pPr>
        <w:keepNext w:val="0"/>
        <w:widowControl w:val="0"/>
      </w:pPr>
    </w:p>
    <w:p w:rsidR="00000000" w:rsidRDefault="00D35856">
      <w:pPr>
        <w:pStyle w:val="Heading3a"/>
      </w:pPr>
      <w:bookmarkStart w:id="266" w:name="_Toc199933781"/>
      <w:r>
        <w:t>Benefits of WELS (avoided costs) NPV</w:t>
      </w:r>
      <w:bookmarkEnd w:id="266"/>
      <w:r>
        <w:t xml:space="preserve"> </w:t>
      </w:r>
    </w:p>
    <w:p w:rsidR="00000000" w:rsidRDefault="00D35856">
      <w:pPr>
        <w:keepNext w:val="0"/>
      </w:pPr>
    </w:p>
    <w:tbl>
      <w:tblPr>
        <w:tblW w:w="8518" w:type="dxa"/>
        <w:tblInd w:w="98" w:type="dxa"/>
        <w:tblLook w:val="0000"/>
      </w:tblPr>
      <w:tblGrid>
        <w:gridCol w:w="236"/>
        <w:gridCol w:w="3245"/>
        <w:gridCol w:w="236"/>
        <w:gridCol w:w="661"/>
        <w:gridCol w:w="828"/>
        <w:gridCol w:w="828"/>
        <w:gridCol w:w="828"/>
        <w:gridCol w:w="828"/>
        <w:gridCol w:w="828"/>
      </w:tblGrid>
      <w:tr w:rsidR="00000000">
        <w:tc>
          <w:tcPr>
            <w:tcW w:w="3481" w:type="dxa"/>
            <w:gridSpan w:val="2"/>
            <w:tcBorders>
              <w:top w:val="single" w:sz="8" w:space="0" w:color="auto"/>
              <w:left w:val="single" w:sz="8" w:space="0" w:color="auto"/>
              <w:bottom w:val="single" w:sz="8" w:space="0" w:color="auto"/>
              <w:right w:val="single" w:sz="8" w:space="0" w:color="000000"/>
            </w:tcBorders>
            <w:shd w:val="clear" w:color="auto" w:fill="FF99CC"/>
            <w:noWrap/>
            <w:vAlign w:val="bottom"/>
          </w:tcPr>
          <w:p w:rsidR="00000000" w:rsidRDefault="00D35856">
            <w:pPr>
              <w:keepNext w:val="0"/>
              <w:spacing w:after="0"/>
              <w:jc w:val="left"/>
              <w:rPr>
                <w:rFonts w:ascii="Arial" w:hAnsi="Arial" w:cs="Arial"/>
                <w:b/>
                <w:bCs/>
                <w:sz w:val="20"/>
                <w:szCs w:val="20"/>
                <w:lang w:val="en-US"/>
              </w:rPr>
            </w:pPr>
            <w:r>
              <w:rPr>
                <w:rFonts w:ascii="Arial" w:hAnsi="Arial" w:cs="Arial"/>
                <w:b/>
                <w:bCs/>
                <w:sz w:val="20"/>
                <w:szCs w:val="20"/>
                <w:lang w:val="en-US"/>
              </w:rPr>
              <w:t>CUSTOMER PERSPECTIVE</w:t>
            </w: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b/>
                <w:bCs/>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single" w:sz="8" w:space="0" w:color="auto"/>
              <w:left w:val="single" w:sz="8" w:space="0" w:color="auto"/>
              <w:bottom w:val="single" w:sz="8" w:space="0" w:color="auto"/>
              <w:right w:val="single" w:sz="8" w:space="0" w:color="auto"/>
            </w:tcBorders>
            <w:noWrap/>
            <w:vAlign w:val="bottom"/>
          </w:tcPr>
          <w:p w:rsidR="00000000" w:rsidRDefault="00D35856">
            <w:pPr>
              <w:keepNext w:val="0"/>
              <w:spacing w:after="0"/>
              <w:jc w:val="left"/>
              <w:rPr>
                <w:rFonts w:ascii="Arial" w:hAnsi="Arial" w:cs="Arial"/>
                <w:b/>
                <w:bCs/>
                <w:sz w:val="20"/>
                <w:szCs w:val="20"/>
                <w:lang w:val="en-US"/>
              </w:rPr>
            </w:pPr>
            <w:r>
              <w:rPr>
                <w:rFonts w:ascii="Arial" w:hAnsi="Arial" w:cs="Arial"/>
                <w:b/>
                <w:bCs/>
                <w:sz w:val="20"/>
                <w:szCs w:val="20"/>
                <w:lang w:val="en-US"/>
              </w:rPr>
              <w:t>Avoided water bills</w:t>
            </w: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tcPr>
          <w:p w:rsidR="00000000" w:rsidRDefault="00D35856">
            <w:pPr>
              <w:keepNext w:val="0"/>
              <w:autoSpaceDE w:val="0"/>
              <w:autoSpaceDN w:val="0"/>
              <w:adjustRightInd w:val="0"/>
              <w:spacing w:after="0"/>
              <w:jc w:val="right"/>
              <w:rPr>
                <w:rFonts w:ascii="Arial" w:hAnsi="Arial" w:cs="Arial"/>
                <w:b/>
                <w:bCs/>
                <w:color w:val="000000"/>
                <w:sz w:val="20"/>
                <w:szCs w:val="20"/>
                <w:lang w:val="en-US"/>
              </w:rPr>
            </w:pPr>
            <w:r>
              <w:rPr>
                <w:rFonts w:ascii="Arial" w:hAnsi="Arial" w:cs="Arial"/>
                <w:b/>
                <w:bCs/>
                <w:color w:val="000000"/>
                <w:sz w:val="20"/>
                <w:szCs w:val="20"/>
                <w:lang w:val="en-US"/>
              </w:rPr>
              <w:t>1.6%</w:t>
            </w:r>
          </w:p>
        </w:tc>
        <w:tc>
          <w:tcPr>
            <w:tcW w:w="828" w:type="dxa"/>
            <w:tcBorders>
              <w:top w:val="nil"/>
              <w:left w:val="nil"/>
              <w:bottom w:val="nil"/>
              <w:right w:val="nil"/>
            </w:tcBorders>
            <w:noWrap/>
          </w:tcPr>
          <w:p w:rsidR="00000000" w:rsidRDefault="00D35856">
            <w:pPr>
              <w:keepNext w:val="0"/>
              <w:autoSpaceDE w:val="0"/>
              <w:autoSpaceDN w:val="0"/>
              <w:adjustRightInd w:val="0"/>
              <w:spacing w:after="0"/>
              <w:jc w:val="right"/>
              <w:rPr>
                <w:rFonts w:ascii="Arial" w:hAnsi="Arial" w:cs="Arial"/>
                <w:b/>
                <w:bCs/>
                <w:color w:val="000000"/>
                <w:sz w:val="20"/>
                <w:szCs w:val="20"/>
                <w:lang w:val="en-US"/>
              </w:rPr>
            </w:pPr>
            <w:r>
              <w:rPr>
                <w:rFonts w:ascii="Arial" w:hAnsi="Arial" w:cs="Arial"/>
                <w:b/>
                <w:bCs/>
                <w:color w:val="000000"/>
                <w:sz w:val="20"/>
                <w:szCs w:val="20"/>
                <w:lang w:val="en-US"/>
              </w:rPr>
              <w:t>3.5%</w:t>
            </w:r>
          </w:p>
        </w:tc>
        <w:tc>
          <w:tcPr>
            <w:tcW w:w="828" w:type="dxa"/>
            <w:tcBorders>
              <w:top w:val="nil"/>
              <w:left w:val="nil"/>
              <w:bottom w:val="nil"/>
              <w:right w:val="nil"/>
            </w:tcBorders>
            <w:noWrap/>
          </w:tcPr>
          <w:p w:rsidR="00000000" w:rsidRDefault="00D35856">
            <w:pPr>
              <w:keepNext w:val="0"/>
              <w:autoSpaceDE w:val="0"/>
              <w:autoSpaceDN w:val="0"/>
              <w:adjustRightInd w:val="0"/>
              <w:spacing w:after="0"/>
              <w:jc w:val="right"/>
              <w:rPr>
                <w:rFonts w:ascii="Arial" w:hAnsi="Arial" w:cs="Arial"/>
                <w:b/>
                <w:bCs/>
                <w:color w:val="000000"/>
                <w:sz w:val="20"/>
                <w:szCs w:val="20"/>
                <w:lang w:val="en-US"/>
              </w:rPr>
            </w:pPr>
            <w:r>
              <w:rPr>
                <w:rFonts w:ascii="Arial" w:hAnsi="Arial" w:cs="Arial"/>
                <w:b/>
                <w:bCs/>
                <w:color w:val="000000"/>
                <w:sz w:val="20"/>
                <w:szCs w:val="20"/>
                <w:lang w:val="en-US"/>
              </w:rPr>
              <w:t>4%</w:t>
            </w:r>
          </w:p>
        </w:tc>
        <w:tc>
          <w:tcPr>
            <w:tcW w:w="828" w:type="dxa"/>
            <w:tcBorders>
              <w:top w:val="nil"/>
              <w:left w:val="nil"/>
              <w:bottom w:val="nil"/>
              <w:right w:val="nil"/>
            </w:tcBorders>
            <w:noWrap/>
          </w:tcPr>
          <w:p w:rsidR="00000000" w:rsidRDefault="00D35856">
            <w:pPr>
              <w:keepNext w:val="0"/>
              <w:autoSpaceDE w:val="0"/>
              <w:autoSpaceDN w:val="0"/>
              <w:adjustRightInd w:val="0"/>
              <w:spacing w:after="0"/>
              <w:jc w:val="right"/>
              <w:rPr>
                <w:rFonts w:ascii="Arial" w:hAnsi="Arial" w:cs="Arial"/>
                <w:b/>
                <w:bCs/>
                <w:color w:val="000000"/>
                <w:sz w:val="20"/>
                <w:szCs w:val="20"/>
                <w:lang w:val="en-US"/>
              </w:rPr>
            </w:pPr>
            <w:r>
              <w:rPr>
                <w:rFonts w:ascii="Arial" w:hAnsi="Arial" w:cs="Arial"/>
                <w:b/>
                <w:bCs/>
                <w:color w:val="000000"/>
                <w:sz w:val="20"/>
                <w:szCs w:val="20"/>
                <w:lang w:val="en-US"/>
              </w:rPr>
              <w:t>7%</w:t>
            </w:r>
          </w:p>
        </w:tc>
        <w:tc>
          <w:tcPr>
            <w:tcW w:w="828" w:type="dxa"/>
            <w:tcBorders>
              <w:top w:val="nil"/>
              <w:left w:val="nil"/>
              <w:bottom w:val="nil"/>
              <w:right w:val="nil"/>
            </w:tcBorders>
            <w:noWrap/>
          </w:tcPr>
          <w:p w:rsidR="00000000" w:rsidRDefault="00D35856">
            <w:pPr>
              <w:keepNext w:val="0"/>
              <w:autoSpaceDE w:val="0"/>
              <w:autoSpaceDN w:val="0"/>
              <w:adjustRightInd w:val="0"/>
              <w:spacing w:after="0"/>
              <w:jc w:val="right"/>
              <w:rPr>
                <w:rFonts w:ascii="Arial" w:hAnsi="Arial" w:cs="Arial"/>
                <w:b/>
                <w:bCs/>
                <w:color w:val="000000"/>
                <w:sz w:val="20"/>
                <w:szCs w:val="20"/>
                <w:lang w:val="en-US"/>
              </w:rPr>
            </w:pPr>
            <w:r>
              <w:rPr>
                <w:rFonts w:ascii="Arial" w:hAnsi="Arial" w:cs="Arial"/>
                <w:b/>
                <w:bCs/>
                <w:color w:val="000000"/>
                <w:sz w:val="20"/>
                <w:szCs w:val="20"/>
                <w:lang w:val="en-US"/>
              </w:rPr>
              <w:t>10%</w:t>
            </w: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r>
              <w:rPr>
                <w:rFonts w:ascii="Arial" w:hAnsi="Arial" w:cs="Arial"/>
                <w:sz w:val="20"/>
                <w:szCs w:val="20"/>
                <w:lang w:val="en-US"/>
              </w:rPr>
              <w:t>Annual rate of increase</w:t>
            </w: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828" w:type="dxa"/>
            <w:tcBorders>
              <w:top w:val="nil"/>
              <w:left w:val="nil"/>
              <w:bottom w:val="nil"/>
              <w:right w:val="nil"/>
            </w:tcBorders>
            <w:noWrap/>
          </w:tcPr>
          <w:p w:rsidR="00000000" w:rsidRDefault="00D35856">
            <w:pPr>
              <w:keepNext w:val="0"/>
              <w:autoSpaceDE w:val="0"/>
              <w:autoSpaceDN w:val="0"/>
              <w:adjustRightInd w:val="0"/>
              <w:spacing w:after="0"/>
              <w:jc w:val="right"/>
              <w:rPr>
                <w:rFonts w:ascii="Arial" w:hAnsi="Arial" w:cs="Arial"/>
                <w:color w:val="000000"/>
                <w:sz w:val="20"/>
                <w:szCs w:val="20"/>
                <w:lang w:val="en-US"/>
              </w:rPr>
            </w:pPr>
            <w:r>
              <w:rPr>
                <w:rFonts w:ascii="Arial" w:hAnsi="Arial" w:cs="Arial"/>
                <w:color w:val="000000"/>
                <w:sz w:val="20"/>
                <w:szCs w:val="20"/>
                <w:lang w:val="en-US"/>
              </w:rPr>
              <w:t>$717</w:t>
            </w:r>
          </w:p>
        </w:tc>
        <w:tc>
          <w:tcPr>
            <w:tcW w:w="828" w:type="dxa"/>
            <w:tcBorders>
              <w:top w:val="nil"/>
              <w:left w:val="nil"/>
              <w:bottom w:val="nil"/>
              <w:right w:val="nil"/>
            </w:tcBorders>
            <w:noWrap/>
          </w:tcPr>
          <w:p w:rsidR="00000000" w:rsidRDefault="00D35856">
            <w:pPr>
              <w:keepNext w:val="0"/>
              <w:autoSpaceDE w:val="0"/>
              <w:autoSpaceDN w:val="0"/>
              <w:adjustRightInd w:val="0"/>
              <w:spacing w:after="0"/>
              <w:jc w:val="right"/>
              <w:rPr>
                <w:rFonts w:ascii="Arial" w:hAnsi="Arial" w:cs="Arial"/>
                <w:color w:val="000000"/>
                <w:sz w:val="20"/>
                <w:szCs w:val="20"/>
                <w:lang w:val="en-US"/>
              </w:rPr>
            </w:pPr>
            <w:r>
              <w:rPr>
                <w:rFonts w:ascii="Arial" w:hAnsi="Arial" w:cs="Arial"/>
                <w:color w:val="000000"/>
                <w:sz w:val="20"/>
                <w:szCs w:val="20"/>
                <w:lang w:val="en-US"/>
              </w:rPr>
              <w:t>$581</w:t>
            </w:r>
          </w:p>
        </w:tc>
        <w:tc>
          <w:tcPr>
            <w:tcW w:w="828" w:type="dxa"/>
            <w:tcBorders>
              <w:top w:val="nil"/>
              <w:left w:val="nil"/>
              <w:bottom w:val="nil"/>
              <w:right w:val="nil"/>
            </w:tcBorders>
            <w:noWrap/>
          </w:tcPr>
          <w:p w:rsidR="00000000" w:rsidRDefault="00D35856">
            <w:pPr>
              <w:keepNext w:val="0"/>
              <w:autoSpaceDE w:val="0"/>
              <w:autoSpaceDN w:val="0"/>
              <w:adjustRightInd w:val="0"/>
              <w:spacing w:after="0"/>
              <w:jc w:val="right"/>
              <w:rPr>
                <w:rFonts w:ascii="Arial" w:hAnsi="Arial" w:cs="Arial"/>
                <w:color w:val="000000"/>
                <w:sz w:val="20"/>
                <w:szCs w:val="20"/>
                <w:lang w:val="en-US"/>
              </w:rPr>
            </w:pPr>
            <w:r>
              <w:rPr>
                <w:rFonts w:ascii="Arial" w:hAnsi="Arial" w:cs="Arial"/>
                <w:color w:val="000000"/>
                <w:sz w:val="20"/>
                <w:szCs w:val="20"/>
                <w:lang w:val="en-US"/>
              </w:rPr>
              <w:t>$551</w:t>
            </w:r>
          </w:p>
        </w:tc>
        <w:tc>
          <w:tcPr>
            <w:tcW w:w="828" w:type="dxa"/>
            <w:tcBorders>
              <w:top w:val="nil"/>
              <w:left w:val="nil"/>
              <w:bottom w:val="nil"/>
              <w:right w:val="nil"/>
            </w:tcBorders>
            <w:noWrap/>
          </w:tcPr>
          <w:p w:rsidR="00000000" w:rsidRDefault="00D35856">
            <w:pPr>
              <w:keepNext w:val="0"/>
              <w:autoSpaceDE w:val="0"/>
              <w:autoSpaceDN w:val="0"/>
              <w:adjustRightInd w:val="0"/>
              <w:spacing w:after="0"/>
              <w:jc w:val="right"/>
              <w:rPr>
                <w:rFonts w:ascii="Arial" w:hAnsi="Arial" w:cs="Arial"/>
                <w:color w:val="000000"/>
                <w:sz w:val="20"/>
                <w:szCs w:val="20"/>
                <w:lang w:val="en-US"/>
              </w:rPr>
            </w:pPr>
            <w:r>
              <w:rPr>
                <w:rFonts w:ascii="Arial" w:hAnsi="Arial" w:cs="Arial"/>
                <w:color w:val="000000"/>
                <w:sz w:val="20"/>
                <w:szCs w:val="20"/>
                <w:lang w:val="en-US"/>
              </w:rPr>
              <w:t>$403</w:t>
            </w:r>
          </w:p>
        </w:tc>
        <w:tc>
          <w:tcPr>
            <w:tcW w:w="828" w:type="dxa"/>
            <w:tcBorders>
              <w:top w:val="nil"/>
              <w:left w:val="nil"/>
              <w:bottom w:val="nil"/>
              <w:right w:val="nil"/>
            </w:tcBorders>
            <w:noWrap/>
          </w:tcPr>
          <w:p w:rsidR="00000000" w:rsidRDefault="00D35856">
            <w:pPr>
              <w:keepNext w:val="0"/>
              <w:autoSpaceDE w:val="0"/>
              <w:autoSpaceDN w:val="0"/>
              <w:adjustRightInd w:val="0"/>
              <w:spacing w:after="0"/>
              <w:jc w:val="right"/>
              <w:rPr>
                <w:rFonts w:ascii="Arial" w:hAnsi="Arial" w:cs="Arial"/>
                <w:color w:val="000000"/>
                <w:sz w:val="20"/>
                <w:szCs w:val="20"/>
                <w:lang w:val="en-US"/>
              </w:rPr>
            </w:pPr>
            <w:r>
              <w:rPr>
                <w:rFonts w:ascii="Arial" w:hAnsi="Arial" w:cs="Arial"/>
                <w:color w:val="000000"/>
                <w:sz w:val="20"/>
                <w:szCs w:val="20"/>
                <w:lang w:val="en-US"/>
              </w:rPr>
              <w:t>$301</w:t>
            </w: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r>
              <w:rPr>
                <w:rFonts w:ascii="Arial" w:hAnsi="Arial" w:cs="Arial"/>
                <w:sz w:val="20"/>
                <w:szCs w:val="20"/>
                <w:lang w:val="en-US"/>
              </w:rPr>
              <w:t>real water tariff</w:t>
            </w: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5%</w:t>
            </w:r>
          </w:p>
        </w:tc>
        <w:tc>
          <w:tcPr>
            <w:tcW w:w="828" w:type="dxa"/>
            <w:tcBorders>
              <w:top w:val="nil"/>
              <w:left w:val="nil"/>
              <w:bottom w:val="nil"/>
              <w:right w:val="nil"/>
            </w:tcBorders>
            <w:noWrap/>
          </w:tcPr>
          <w:p w:rsidR="00000000" w:rsidRDefault="00D35856">
            <w:pPr>
              <w:keepNext w:val="0"/>
              <w:autoSpaceDE w:val="0"/>
              <w:autoSpaceDN w:val="0"/>
              <w:adjustRightInd w:val="0"/>
              <w:spacing w:after="0"/>
              <w:jc w:val="right"/>
              <w:rPr>
                <w:rFonts w:ascii="Arial" w:hAnsi="Arial" w:cs="Arial"/>
                <w:color w:val="000000"/>
                <w:sz w:val="20"/>
                <w:szCs w:val="20"/>
                <w:lang w:val="en-US"/>
              </w:rPr>
            </w:pPr>
            <w:r>
              <w:rPr>
                <w:rFonts w:ascii="Arial" w:hAnsi="Arial" w:cs="Arial"/>
                <w:color w:val="000000"/>
                <w:sz w:val="20"/>
                <w:szCs w:val="20"/>
                <w:lang w:val="en-US"/>
              </w:rPr>
              <w:t>$1213</w:t>
            </w:r>
          </w:p>
        </w:tc>
        <w:tc>
          <w:tcPr>
            <w:tcW w:w="828" w:type="dxa"/>
            <w:tcBorders>
              <w:top w:val="nil"/>
              <w:left w:val="nil"/>
              <w:bottom w:val="nil"/>
              <w:right w:val="nil"/>
            </w:tcBorders>
            <w:noWrap/>
          </w:tcPr>
          <w:p w:rsidR="00000000" w:rsidRDefault="00D35856">
            <w:pPr>
              <w:keepNext w:val="0"/>
              <w:autoSpaceDE w:val="0"/>
              <w:autoSpaceDN w:val="0"/>
              <w:adjustRightInd w:val="0"/>
              <w:spacing w:after="0"/>
              <w:jc w:val="right"/>
              <w:rPr>
                <w:rFonts w:ascii="Arial" w:hAnsi="Arial" w:cs="Arial"/>
                <w:color w:val="000000"/>
                <w:sz w:val="20"/>
                <w:szCs w:val="20"/>
                <w:lang w:val="en-US"/>
              </w:rPr>
            </w:pPr>
            <w:r>
              <w:rPr>
                <w:rFonts w:ascii="Arial" w:hAnsi="Arial" w:cs="Arial"/>
                <w:color w:val="000000"/>
                <w:sz w:val="20"/>
                <w:szCs w:val="20"/>
                <w:lang w:val="en-US"/>
              </w:rPr>
              <w:t>$972</w:t>
            </w:r>
          </w:p>
        </w:tc>
        <w:tc>
          <w:tcPr>
            <w:tcW w:w="828" w:type="dxa"/>
            <w:tcBorders>
              <w:top w:val="nil"/>
              <w:left w:val="nil"/>
              <w:bottom w:val="nil"/>
              <w:right w:val="nil"/>
            </w:tcBorders>
            <w:noWrap/>
          </w:tcPr>
          <w:p w:rsidR="00000000" w:rsidRDefault="00D35856">
            <w:pPr>
              <w:keepNext w:val="0"/>
              <w:autoSpaceDE w:val="0"/>
              <w:autoSpaceDN w:val="0"/>
              <w:adjustRightInd w:val="0"/>
              <w:spacing w:after="0"/>
              <w:jc w:val="right"/>
              <w:rPr>
                <w:rFonts w:ascii="Arial" w:hAnsi="Arial" w:cs="Arial"/>
                <w:color w:val="000000"/>
                <w:sz w:val="20"/>
                <w:szCs w:val="20"/>
                <w:lang w:val="en-US"/>
              </w:rPr>
            </w:pPr>
            <w:r>
              <w:rPr>
                <w:rFonts w:ascii="Arial" w:hAnsi="Arial" w:cs="Arial"/>
                <w:color w:val="000000"/>
                <w:sz w:val="20"/>
                <w:szCs w:val="20"/>
                <w:lang w:val="en-US"/>
              </w:rPr>
              <w:t>$918</w:t>
            </w:r>
          </w:p>
        </w:tc>
        <w:tc>
          <w:tcPr>
            <w:tcW w:w="828" w:type="dxa"/>
            <w:tcBorders>
              <w:top w:val="nil"/>
              <w:left w:val="nil"/>
              <w:bottom w:val="nil"/>
              <w:right w:val="nil"/>
            </w:tcBorders>
            <w:noWrap/>
          </w:tcPr>
          <w:p w:rsidR="00000000" w:rsidRDefault="00D35856">
            <w:pPr>
              <w:keepNext w:val="0"/>
              <w:autoSpaceDE w:val="0"/>
              <w:autoSpaceDN w:val="0"/>
              <w:adjustRightInd w:val="0"/>
              <w:spacing w:after="0"/>
              <w:jc w:val="right"/>
              <w:rPr>
                <w:rFonts w:ascii="Arial" w:hAnsi="Arial" w:cs="Arial"/>
                <w:color w:val="000000"/>
                <w:sz w:val="20"/>
                <w:szCs w:val="20"/>
                <w:lang w:val="en-US"/>
              </w:rPr>
            </w:pPr>
            <w:r>
              <w:rPr>
                <w:rFonts w:ascii="Arial" w:hAnsi="Arial" w:cs="Arial"/>
                <w:color w:val="000000"/>
                <w:sz w:val="20"/>
                <w:szCs w:val="20"/>
                <w:lang w:val="en-US"/>
              </w:rPr>
              <w:t>$660</w:t>
            </w:r>
          </w:p>
        </w:tc>
        <w:tc>
          <w:tcPr>
            <w:tcW w:w="828" w:type="dxa"/>
            <w:tcBorders>
              <w:top w:val="nil"/>
              <w:left w:val="nil"/>
              <w:bottom w:val="nil"/>
              <w:right w:val="nil"/>
            </w:tcBorders>
            <w:noWrap/>
          </w:tcPr>
          <w:p w:rsidR="00000000" w:rsidRDefault="00D35856">
            <w:pPr>
              <w:keepNext w:val="0"/>
              <w:autoSpaceDE w:val="0"/>
              <w:autoSpaceDN w:val="0"/>
              <w:adjustRightInd w:val="0"/>
              <w:spacing w:after="0"/>
              <w:jc w:val="right"/>
              <w:rPr>
                <w:rFonts w:ascii="Arial" w:hAnsi="Arial" w:cs="Arial"/>
                <w:color w:val="000000"/>
                <w:sz w:val="20"/>
                <w:szCs w:val="20"/>
                <w:lang w:val="en-US"/>
              </w:rPr>
            </w:pPr>
            <w:r>
              <w:rPr>
                <w:rFonts w:ascii="Arial" w:hAnsi="Arial" w:cs="Arial"/>
                <w:color w:val="000000"/>
                <w:sz w:val="20"/>
                <w:szCs w:val="20"/>
                <w:lang w:val="en-US"/>
              </w:rPr>
              <w:t>$484</w:t>
            </w: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10%</w:t>
            </w:r>
          </w:p>
        </w:tc>
        <w:tc>
          <w:tcPr>
            <w:tcW w:w="828" w:type="dxa"/>
            <w:tcBorders>
              <w:top w:val="nil"/>
              <w:left w:val="nil"/>
              <w:bottom w:val="nil"/>
              <w:right w:val="nil"/>
            </w:tcBorders>
            <w:noWrap/>
          </w:tcPr>
          <w:p w:rsidR="00000000" w:rsidRDefault="00D35856">
            <w:pPr>
              <w:keepNext w:val="0"/>
              <w:autoSpaceDE w:val="0"/>
              <w:autoSpaceDN w:val="0"/>
              <w:adjustRightInd w:val="0"/>
              <w:spacing w:after="0"/>
              <w:jc w:val="right"/>
              <w:rPr>
                <w:rFonts w:ascii="Arial" w:hAnsi="Arial" w:cs="Arial"/>
                <w:color w:val="000000"/>
                <w:sz w:val="20"/>
                <w:szCs w:val="20"/>
                <w:lang w:val="en-US"/>
              </w:rPr>
            </w:pPr>
            <w:r>
              <w:rPr>
                <w:rFonts w:ascii="Arial" w:hAnsi="Arial" w:cs="Arial"/>
                <w:color w:val="000000"/>
                <w:sz w:val="20"/>
                <w:szCs w:val="20"/>
                <w:lang w:val="en-US"/>
              </w:rPr>
              <w:t>$2055</w:t>
            </w:r>
          </w:p>
        </w:tc>
        <w:tc>
          <w:tcPr>
            <w:tcW w:w="828" w:type="dxa"/>
            <w:tcBorders>
              <w:top w:val="nil"/>
              <w:left w:val="nil"/>
              <w:bottom w:val="nil"/>
              <w:right w:val="nil"/>
            </w:tcBorders>
            <w:noWrap/>
          </w:tcPr>
          <w:p w:rsidR="00000000" w:rsidRDefault="00D35856">
            <w:pPr>
              <w:keepNext w:val="0"/>
              <w:autoSpaceDE w:val="0"/>
              <w:autoSpaceDN w:val="0"/>
              <w:adjustRightInd w:val="0"/>
              <w:spacing w:after="0"/>
              <w:jc w:val="right"/>
              <w:rPr>
                <w:rFonts w:ascii="Arial" w:hAnsi="Arial" w:cs="Arial"/>
                <w:color w:val="000000"/>
                <w:sz w:val="20"/>
                <w:szCs w:val="20"/>
                <w:lang w:val="en-US"/>
              </w:rPr>
            </w:pPr>
            <w:r>
              <w:rPr>
                <w:rFonts w:ascii="Arial" w:hAnsi="Arial" w:cs="Arial"/>
                <w:color w:val="000000"/>
                <w:sz w:val="20"/>
                <w:szCs w:val="20"/>
                <w:lang w:val="en-US"/>
              </w:rPr>
              <w:t>$1631</w:t>
            </w:r>
          </w:p>
        </w:tc>
        <w:tc>
          <w:tcPr>
            <w:tcW w:w="828" w:type="dxa"/>
            <w:tcBorders>
              <w:top w:val="nil"/>
              <w:left w:val="nil"/>
              <w:bottom w:val="nil"/>
              <w:right w:val="nil"/>
            </w:tcBorders>
            <w:noWrap/>
          </w:tcPr>
          <w:p w:rsidR="00000000" w:rsidRDefault="00D35856">
            <w:pPr>
              <w:keepNext w:val="0"/>
              <w:autoSpaceDE w:val="0"/>
              <w:autoSpaceDN w:val="0"/>
              <w:adjustRightInd w:val="0"/>
              <w:spacing w:after="0"/>
              <w:jc w:val="right"/>
              <w:rPr>
                <w:rFonts w:ascii="Arial" w:hAnsi="Arial" w:cs="Arial"/>
                <w:color w:val="000000"/>
                <w:sz w:val="20"/>
                <w:szCs w:val="20"/>
                <w:lang w:val="en-US"/>
              </w:rPr>
            </w:pPr>
            <w:r>
              <w:rPr>
                <w:rFonts w:ascii="Arial" w:hAnsi="Arial" w:cs="Arial"/>
                <w:color w:val="000000"/>
                <w:sz w:val="20"/>
                <w:szCs w:val="20"/>
                <w:lang w:val="en-US"/>
              </w:rPr>
              <w:t>$1537</w:t>
            </w:r>
          </w:p>
        </w:tc>
        <w:tc>
          <w:tcPr>
            <w:tcW w:w="828" w:type="dxa"/>
            <w:tcBorders>
              <w:top w:val="nil"/>
              <w:left w:val="nil"/>
              <w:bottom w:val="nil"/>
              <w:right w:val="nil"/>
            </w:tcBorders>
            <w:noWrap/>
          </w:tcPr>
          <w:p w:rsidR="00000000" w:rsidRDefault="00D35856">
            <w:pPr>
              <w:keepNext w:val="0"/>
              <w:autoSpaceDE w:val="0"/>
              <w:autoSpaceDN w:val="0"/>
              <w:adjustRightInd w:val="0"/>
              <w:spacing w:after="0"/>
              <w:jc w:val="right"/>
              <w:rPr>
                <w:rFonts w:ascii="Arial" w:hAnsi="Arial" w:cs="Arial"/>
                <w:color w:val="000000"/>
                <w:sz w:val="20"/>
                <w:szCs w:val="20"/>
                <w:lang w:val="en-US"/>
              </w:rPr>
            </w:pPr>
            <w:r>
              <w:rPr>
                <w:rFonts w:ascii="Arial" w:hAnsi="Arial" w:cs="Arial"/>
                <w:color w:val="000000"/>
                <w:sz w:val="20"/>
                <w:szCs w:val="20"/>
                <w:lang w:val="en-US"/>
              </w:rPr>
              <w:t>$1087</w:t>
            </w:r>
          </w:p>
        </w:tc>
        <w:tc>
          <w:tcPr>
            <w:tcW w:w="828" w:type="dxa"/>
            <w:tcBorders>
              <w:top w:val="nil"/>
              <w:left w:val="nil"/>
              <w:bottom w:val="nil"/>
              <w:right w:val="nil"/>
            </w:tcBorders>
            <w:noWrap/>
          </w:tcPr>
          <w:p w:rsidR="00000000" w:rsidRDefault="00D35856">
            <w:pPr>
              <w:keepNext w:val="0"/>
              <w:autoSpaceDE w:val="0"/>
              <w:autoSpaceDN w:val="0"/>
              <w:adjustRightInd w:val="0"/>
              <w:spacing w:after="0"/>
              <w:jc w:val="right"/>
              <w:rPr>
                <w:rFonts w:ascii="Arial" w:hAnsi="Arial" w:cs="Arial"/>
                <w:color w:val="000000"/>
                <w:sz w:val="20"/>
                <w:szCs w:val="20"/>
                <w:lang w:val="en-US"/>
              </w:rPr>
            </w:pPr>
            <w:r>
              <w:rPr>
                <w:rFonts w:ascii="Arial" w:hAnsi="Arial" w:cs="Arial"/>
                <w:color w:val="000000"/>
                <w:sz w:val="20"/>
                <w:szCs w:val="20"/>
                <w:lang w:val="en-US"/>
              </w:rPr>
              <w:t>$784</w:t>
            </w: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single" w:sz="8" w:space="0" w:color="auto"/>
              <w:left w:val="single" w:sz="8" w:space="0" w:color="auto"/>
              <w:bottom w:val="single" w:sz="8" w:space="0" w:color="auto"/>
              <w:right w:val="single" w:sz="8" w:space="0" w:color="auto"/>
            </w:tcBorders>
            <w:vAlign w:val="bottom"/>
          </w:tcPr>
          <w:p w:rsidR="00000000" w:rsidRDefault="00D35856">
            <w:pPr>
              <w:keepNext w:val="0"/>
              <w:spacing w:after="0"/>
              <w:jc w:val="left"/>
              <w:rPr>
                <w:rFonts w:ascii="Arial" w:hAnsi="Arial" w:cs="Arial"/>
                <w:b/>
                <w:bCs/>
                <w:sz w:val="20"/>
                <w:szCs w:val="20"/>
                <w:lang w:val="en-US"/>
              </w:rPr>
            </w:pPr>
            <w:r>
              <w:rPr>
                <w:rFonts w:ascii="Arial" w:hAnsi="Arial" w:cs="Arial"/>
                <w:b/>
                <w:bCs/>
                <w:sz w:val="20"/>
                <w:szCs w:val="20"/>
                <w:lang w:val="en-US"/>
              </w:rPr>
              <w:t>Avoided energy bills (due to avoided water heating)</w:t>
            </w: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tcPr>
          <w:p w:rsidR="00000000" w:rsidRDefault="00D35856">
            <w:pPr>
              <w:spacing w:after="0"/>
            </w:pPr>
            <w:r>
              <w:t>1.6%</w:t>
            </w:r>
          </w:p>
        </w:tc>
        <w:tc>
          <w:tcPr>
            <w:tcW w:w="828" w:type="dxa"/>
            <w:tcBorders>
              <w:top w:val="nil"/>
              <w:left w:val="nil"/>
              <w:bottom w:val="nil"/>
              <w:right w:val="nil"/>
            </w:tcBorders>
            <w:noWrap/>
          </w:tcPr>
          <w:p w:rsidR="00000000" w:rsidRDefault="00D35856">
            <w:pPr>
              <w:spacing w:after="0"/>
            </w:pPr>
            <w:r>
              <w:t>3.5%</w:t>
            </w:r>
          </w:p>
        </w:tc>
        <w:tc>
          <w:tcPr>
            <w:tcW w:w="828" w:type="dxa"/>
            <w:tcBorders>
              <w:top w:val="nil"/>
              <w:left w:val="nil"/>
              <w:bottom w:val="nil"/>
              <w:right w:val="nil"/>
            </w:tcBorders>
            <w:noWrap/>
          </w:tcPr>
          <w:p w:rsidR="00000000" w:rsidRDefault="00D35856">
            <w:pPr>
              <w:spacing w:after="0"/>
            </w:pPr>
            <w:r>
              <w:t>4%</w:t>
            </w:r>
          </w:p>
        </w:tc>
        <w:tc>
          <w:tcPr>
            <w:tcW w:w="828" w:type="dxa"/>
            <w:tcBorders>
              <w:top w:val="nil"/>
              <w:left w:val="nil"/>
              <w:bottom w:val="nil"/>
              <w:right w:val="nil"/>
            </w:tcBorders>
            <w:noWrap/>
          </w:tcPr>
          <w:p w:rsidR="00000000" w:rsidRDefault="00D35856">
            <w:pPr>
              <w:spacing w:after="0"/>
            </w:pPr>
            <w:r>
              <w:t>7%</w:t>
            </w:r>
          </w:p>
        </w:tc>
        <w:tc>
          <w:tcPr>
            <w:tcW w:w="828" w:type="dxa"/>
            <w:tcBorders>
              <w:top w:val="nil"/>
              <w:left w:val="nil"/>
              <w:bottom w:val="nil"/>
              <w:right w:val="nil"/>
            </w:tcBorders>
            <w:noWrap/>
          </w:tcPr>
          <w:p w:rsidR="00000000" w:rsidRDefault="00D35856">
            <w:pPr>
              <w:spacing w:after="0"/>
            </w:pPr>
            <w:r>
              <w:t>10%</w:t>
            </w: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r>
              <w:rPr>
                <w:rFonts w:ascii="Arial" w:hAnsi="Arial" w:cs="Arial"/>
                <w:sz w:val="20"/>
                <w:szCs w:val="20"/>
                <w:lang w:val="en-US"/>
              </w:rPr>
              <w:t>Annual rate of increase</w:t>
            </w: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828" w:type="dxa"/>
            <w:tcBorders>
              <w:top w:val="nil"/>
              <w:left w:val="nil"/>
              <w:bottom w:val="nil"/>
              <w:right w:val="nil"/>
            </w:tcBorders>
            <w:noWrap/>
          </w:tcPr>
          <w:p w:rsidR="00000000" w:rsidRDefault="00D35856">
            <w:pPr>
              <w:spacing w:after="0"/>
            </w:pPr>
            <w:r>
              <w:t>$666</w:t>
            </w:r>
          </w:p>
        </w:tc>
        <w:tc>
          <w:tcPr>
            <w:tcW w:w="828" w:type="dxa"/>
            <w:tcBorders>
              <w:top w:val="nil"/>
              <w:left w:val="nil"/>
              <w:bottom w:val="nil"/>
              <w:right w:val="nil"/>
            </w:tcBorders>
            <w:noWrap/>
          </w:tcPr>
          <w:p w:rsidR="00000000" w:rsidRDefault="00D35856">
            <w:pPr>
              <w:spacing w:after="0"/>
            </w:pPr>
            <w:r>
              <w:t>$541</w:t>
            </w:r>
          </w:p>
        </w:tc>
        <w:tc>
          <w:tcPr>
            <w:tcW w:w="828" w:type="dxa"/>
            <w:tcBorders>
              <w:top w:val="nil"/>
              <w:left w:val="nil"/>
              <w:bottom w:val="nil"/>
              <w:right w:val="nil"/>
            </w:tcBorders>
            <w:noWrap/>
          </w:tcPr>
          <w:p w:rsidR="00000000" w:rsidRDefault="00D35856">
            <w:pPr>
              <w:spacing w:after="0"/>
            </w:pPr>
            <w:r>
              <w:t>$512</w:t>
            </w:r>
          </w:p>
        </w:tc>
        <w:tc>
          <w:tcPr>
            <w:tcW w:w="828" w:type="dxa"/>
            <w:tcBorders>
              <w:top w:val="nil"/>
              <w:left w:val="nil"/>
              <w:bottom w:val="nil"/>
              <w:right w:val="nil"/>
            </w:tcBorders>
            <w:noWrap/>
          </w:tcPr>
          <w:p w:rsidR="00000000" w:rsidRDefault="00D35856">
            <w:pPr>
              <w:spacing w:after="0"/>
            </w:pPr>
            <w:r>
              <w:t>$376</w:t>
            </w:r>
          </w:p>
        </w:tc>
        <w:tc>
          <w:tcPr>
            <w:tcW w:w="828" w:type="dxa"/>
            <w:tcBorders>
              <w:top w:val="nil"/>
              <w:left w:val="nil"/>
              <w:bottom w:val="nil"/>
              <w:right w:val="nil"/>
            </w:tcBorders>
            <w:noWrap/>
          </w:tcPr>
          <w:p w:rsidR="00000000" w:rsidRDefault="00D35856">
            <w:pPr>
              <w:spacing w:after="0"/>
            </w:pPr>
            <w:r>
              <w:t>$282</w:t>
            </w: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r>
              <w:rPr>
                <w:rFonts w:ascii="Arial" w:hAnsi="Arial" w:cs="Arial"/>
                <w:sz w:val="20"/>
                <w:szCs w:val="20"/>
                <w:lang w:val="en-US"/>
              </w:rPr>
              <w:t>real energy tariff</w:t>
            </w: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5%</w:t>
            </w:r>
          </w:p>
        </w:tc>
        <w:tc>
          <w:tcPr>
            <w:tcW w:w="828" w:type="dxa"/>
            <w:tcBorders>
              <w:top w:val="nil"/>
              <w:left w:val="nil"/>
              <w:bottom w:val="nil"/>
              <w:right w:val="nil"/>
            </w:tcBorders>
            <w:noWrap/>
          </w:tcPr>
          <w:p w:rsidR="00000000" w:rsidRDefault="00D35856">
            <w:pPr>
              <w:spacing w:after="0"/>
            </w:pPr>
            <w:r>
              <w:t>$1124</w:t>
            </w:r>
          </w:p>
        </w:tc>
        <w:tc>
          <w:tcPr>
            <w:tcW w:w="828" w:type="dxa"/>
            <w:tcBorders>
              <w:top w:val="nil"/>
              <w:left w:val="nil"/>
              <w:bottom w:val="nil"/>
              <w:right w:val="nil"/>
            </w:tcBorders>
            <w:noWrap/>
          </w:tcPr>
          <w:p w:rsidR="00000000" w:rsidRDefault="00D35856">
            <w:pPr>
              <w:spacing w:after="0"/>
            </w:pPr>
            <w:r>
              <w:t>$901</w:t>
            </w:r>
          </w:p>
        </w:tc>
        <w:tc>
          <w:tcPr>
            <w:tcW w:w="828" w:type="dxa"/>
            <w:tcBorders>
              <w:top w:val="nil"/>
              <w:left w:val="nil"/>
              <w:bottom w:val="nil"/>
              <w:right w:val="nil"/>
            </w:tcBorders>
            <w:noWrap/>
          </w:tcPr>
          <w:p w:rsidR="00000000" w:rsidRDefault="00D35856">
            <w:pPr>
              <w:spacing w:after="0"/>
            </w:pPr>
            <w:r>
              <w:t>$852</w:t>
            </w:r>
          </w:p>
        </w:tc>
        <w:tc>
          <w:tcPr>
            <w:tcW w:w="828" w:type="dxa"/>
            <w:tcBorders>
              <w:top w:val="nil"/>
              <w:left w:val="nil"/>
              <w:bottom w:val="nil"/>
              <w:right w:val="nil"/>
            </w:tcBorders>
            <w:noWrap/>
          </w:tcPr>
          <w:p w:rsidR="00000000" w:rsidRDefault="00D35856">
            <w:pPr>
              <w:spacing w:after="0"/>
            </w:pPr>
            <w:r>
              <w:t>$613</w:t>
            </w:r>
          </w:p>
        </w:tc>
        <w:tc>
          <w:tcPr>
            <w:tcW w:w="828" w:type="dxa"/>
            <w:tcBorders>
              <w:top w:val="nil"/>
              <w:left w:val="nil"/>
              <w:bottom w:val="nil"/>
              <w:right w:val="nil"/>
            </w:tcBorders>
            <w:noWrap/>
          </w:tcPr>
          <w:p w:rsidR="00000000" w:rsidRDefault="00D35856">
            <w:pPr>
              <w:spacing w:after="0"/>
            </w:pPr>
            <w:r>
              <w:t>$450</w:t>
            </w: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10%</w:t>
            </w:r>
          </w:p>
        </w:tc>
        <w:tc>
          <w:tcPr>
            <w:tcW w:w="828" w:type="dxa"/>
            <w:tcBorders>
              <w:top w:val="nil"/>
              <w:left w:val="nil"/>
              <w:bottom w:val="nil"/>
              <w:right w:val="nil"/>
            </w:tcBorders>
            <w:noWrap/>
          </w:tcPr>
          <w:p w:rsidR="00000000" w:rsidRDefault="00D35856">
            <w:pPr>
              <w:spacing w:after="0"/>
            </w:pPr>
            <w:r>
              <w:t>$1900</w:t>
            </w:r>
          </w:p>
        </w:tc>
        <w:tc>
          <w:tcPr>
            <w:tcW w:w="828" w:type="dxa"/>
            <w:tcBorders>
              <w:top w:val="nil"/>
              <w:left w:val="nil"/>
              <w:bottom w:val="nil"/>
              <w:right w:val="nil"/>
            </w:tcBorders>
            <w:noWrap/>
          </w:tcPr>
          <w:p w:rsidR="00000000" w:rsidRDefault="00D35856">
            <w:pPr>
              <w:spacing w:after="0"/>
            </w:pPr>
            <w:r>
              <w:t>$1509</w:t>
            </w:r>
          </w:p>
        </w:tc>
        <w:tc>
          <w:tcPr>
            <w:tcW w:w="828" w:type="dxa"/>
            <w:tcBorders>
              <w:top w:val="nil"/>
              <w:left w:val="nil"/>
              <w:bottom w:val="nil"/>
              <w:right w:val="nil"/>
            </w:tcBorders>
            <w:noWrap/>
          </w:tcPr>
          <w:p w:rsidR="00000000" w:rsidRDefault="00D35856">
            <w:pPr>
              <w:spacing w:after="0"/>
            </w:pPr>
            <w:r>
              <w:t>$1422</w:t>
            </w:r>
          </w:p>
        </w:tc>
        <w:tc>
          <w:tcPr>
            <w:tcW w:w="828" w:type="dxa"/>
            <w:tcBorders>
              <w:top w:val="nil"/>
              <w:left w:val="nil"/>
              <w:bottom w:val="nil"/>
              <w:right w:val="nil"/>
            </w:tcBorders>
            <w:noWrap/>
          </w:tcPr>
          <w:p w:rsidR="00000000" w:rsidRDefault="00D35856">
            <w:pPr>
              <w:spacing w:after="0"/>
            </w:pPr>
            <w:r>
              <w:t>$1007</w:t>
            </w:r>
          </w:p>
        </w:tc>
        <w:tc>
          <w:tcPr>
            <w:tcW w:w="828" w:type="dxa"/>
            <w:tcBorders>
              <w:top w:val="nil"/>
              <w:left w:val="nil"/>
              <w:bottom w:val="nil"/>
              <w:right w:val="nil"/>
            </w:tcBorders>
            <w:noWrap/>
          </w:tcPr>
          <w:p w:rsidR="00000000" w:rsidRDefault="00D35856">
            <w:pPr>
              <w:spacing w:after="0"/>
            </w:pPr>
            <w:r>
              <w:t>$727</w:t>
            </w: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single" w:sz="8" w:space="0" w:color="auto"/>
              <w:left w:val="single" w:sz="8" w:space="0" w:color="auto"/>
              <w:bottom w:val="single" w:sz="8" w:space="0" w:color="auto"/>
              <w:right w:val="single" w:sz="8" w:space="0" w:color="auto"/>
            </w:tcBorders>
            <w:vAlign w:val="bottom"/>
          </w:tcPr>
          <w:p w:rsidR="00000000" w:rsidRDefault="00D35856">
            <w:pPr>
              <w:keepNext w:val="0"/>
              <w:spacing w:after="0"/>
              <w:jc w:val="left"/>
              <w:rPr>
                <w:rFonts w:ascii="Arial" w:hAnsi="Arial" w:cs="Arial"/>
                <w:b/>
                <w:bCs/>
                <w:sz w:val="20"/>
                <w:szCs w:val="20"/>
                <w:lang w:val="en-US"/>
              </w:rPr>
            </w:pPr>
            <w:r>
              <w:rPr>
                <w:rFonts w:ascii="Arial" w:hAnsi="Arial" w:cs="Arial"/>
                <w:b/>
                <w:bCs/>
                <w:sz w:val="20"/>
                <w:szCs w:val="20"/>
                <w:lang w:val="en-US"/>
              </w:rPr>
              <w:t>Total avoided water and energy bills</w:t>
            </w: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1.6%</w:t>
            </w:r>
          </w:p>
        </w:tc>
        <w:tc>
          <w:tcPr>
            <w:tcW w:w="828" w:type="dxa"/>
            <w:tcBorders>
              <w:top w:val="nil"/>
              <w:left w:val="nil"/>
              <w:bottom w:val="nil"/>
              <w:right w:val="nil"/>
            </w:tcBorders>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3.5%</w:t>
            </w:r>
          </w:p>
        </w:tc>
        <w:tc>
          <w:tcPr>
            <w:tcW w:w="828" w:type="dxa"/>
            <w:tcBorders>
              <w:top w:val="nil"/>
              <w:left w:val="nil"/>
              <w:bottom w:val="nil"/>
              <w:right w:val="nil"/>
            </w:tcBorders>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4.0%</w:t>
            </w:r>
          </w:p>
        </w:tc>
        <w:tc>
          <w:tcPr>
            <w:tcW w:w="828" w:type="dxa"/>
            <w:tcBorders>
              <w:top w:val="nil"/>
              <w:left w:val="nil"/>
              <w:bottom w:val="nil"/>
              <w:right w:val="nil"/>
            </w:tcBorders>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7.0%</w:t>
            </w:r>
          </w:p>
        </w:tc>
        <w:tc>
          <w:tcPr>
            <w:tcW w:w="828" w:type="dxa"/>
            <w:tcBorders>
              <w:top w:val="nil"/>
              <w:left w:val="nil"/>
              <w:bottom w:val="nil"/>
              <w:right w:val="nil"/>
            </w:tcBorders>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10.0%</w:t>
            </w: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r>
              <w:rPr>
                <w:rFonts w:ascii="Arial" w:hAnsi="Arial" w:cs="Arial"/>
                <w:sz w:val="20"/>
                <w:szCs w:val="20"/>
                <w:lang w:val="en-US"/>
              </w:rPr>
              <w:t>Annual rate of increase</w:t>
            </w: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0%</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$1383</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$1122</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$1063</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$779</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$582</w:t>
            </w: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r>
              <w:rPr>
                <w:rFonts w:ascii="Arial" w:hAnsi="Arial" w:cs="Arial"/>
                <w:sz w:val="20"/>
                <w:szCs w:val="20"/>
                <w:lang w:val="en-US"/>
              </w:rPr>
              <w:t>real tariff</w:t>
            </w: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5%</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$2337</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$1874</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$1770</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$1273</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$934</w:t>
            </w: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10%</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$3954</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$3140</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$2958</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$2094</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$1511</w:t>
            </w: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r>
    </w:tbl>
    <w:p w:rsidR="00000000" w:rsidRDefault="00D35856">
      <w:r>
        <w:br w:type="page"/>
      </w:r>
    </w:p>
    <w:tbl>
      <w:tblPr>
        <w:tblW w:w="8518" w:type="dxa"/>
        <w:tblInd w:w="98" w:type="dxa"/>
        <w:tblLook w:val="0000"/>
      </w:tblPr>
      <w:tblGrid>
        <w:gridCol w:w="236"/>
        <w:gridCol w:w="3245"/>
        <w:gridCol w:w="236"/>
        <w:gridCol w:w="661"/>
        <w:gridCol w:w="828"/>
        <w:gridCol w:w="828"/>
        <w:gridCol w:w="828"/>
        <w:gridCol w:w="828"/>
        <w:gridCol w:w="828"/>
      </w:tblGrid>
      <w:tr w:rsidR="00000000">
        <w:tc>
          <w:tcPr>
            <w:tcW w:w="3481" w:type="dxa"/>
            <w:gridSpan w:val="2"/>
            <w:tcBorders>
              <w:top w:val="single" w:sz="8" w:space="0" w:color="auto"/>
              <w:left w:val="single" w:sz="8" w:space="0" w:color="auto"/>
              <w:bottom w:val="single" w:sz="8" w:space="0" w:color="auto"/>
              <w:right w:val="single" w:sz="8" w:space="0" w:color="000000"/>
            </w:tcBorders>
            <w:shd w:val="clear" w:color="auto" w:fill="FFCC99"/>
            <w:noWrap/>
            <w:vAlign w:val="bottom"/>
          </w:tcPr>
          <w:p w:rsidR="00000000" w:rsidRDefault="00D35856">
            <w:pPr>
              <w:keepNext w:val="0"/>
              <w:spacing w:after="0"/>
              <w:jc w:val="left"/>
              <w:rPr>
                <w:rFonts w:ascii="Arial" w:hAnsi="Arial" w:cs="Arial"/>
                <w:b/>
                <w:bCs/>
                <w:sz w:val="20"/>
                <w:szCs w:val="20"/>
                <w:lang w:val="en-US"/>
              </w:rPr>
            </w:pPr>
            <w:r>
              <w:rPr>
                <w:rFonts w:ascii="Arial" w:hAnsi="Arial" w:cs="Arial"/>
                <w:b/>
                <w:bCs/>
                <w:sz w:val="20"/>
                <w:szCs w:val="20"/>
                <w:lang w:val="en-US"/>
              </w:rPr>
              <w:t>WATER BUSINESS PERSPECTIVE</w:t>
            </w: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single" w:sz="8" w:space="0" w:color="auto"/>
              <w:left w:val="single" w:sz="8" w:space="0" w:color="auto"/>
              <w:bottom w:val="single" w:sz="8" w:space="0" w:color="auto"/>
              <w:right w:val="single" w:sz="8" w:space="0" w:color="auto"/>
            </w:tcBorders>
            <w:vAlign w:val="bottom"/>
          </w:tcPr>
          <w:p w:rsidR="00000000" w:rsidRDefault="00D35856">
            <w:pPr>
              <w:keepNext w:val="0"/>
              <w:spacing w:after="0"/>
              <w:jc w:val="left"/>
              <w:rPr>
                <w:rFonts w:ascii="Arial" w:hAnsi="Arial" w:cs="Arial"/>
                <w:b/>
                <w:bCs/>
                <w:sz w:val="20"/>
                <w:szCs w:val="20"/>
                <w:lang w:val="en-US"/>
              </w:rPr>
            </w:pPr>
            <w:r>
              <w:rPr>
                <w:rFonts w:ascii="Arial" w:hAnsi="Arial" w:cs="Arial"/>
                <w:b/>
                <w:bCs/>
                <w:sz w:val="20"/>
                <w:szCs w:val="20"/>
                <w:lang w:val="en-US"/>
              </w:rPr>
              <w:t>Avoided energy bills (due to avoided pumping)</w:t>
            </w: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spacing w:after="0"/>
              <w:jc w:val="right"/>
              <w:rPr>
                <w:rFonts w:ascii="Arial" w:hAnsi="Arial" w:cs="Arial"/>
                <w:b/>
                <w:bCs/>
                <w:sz w:val="20"/>
                <w:szCs w:val="20"/>
              </w:rPr>
            </w:pPr>
            <w:r>
              <w:rPr>
                <w:rFonts w:ascii="Arial" w:hAnsi="Arial" w:cs="Arial"/>
                <w:b/>
                <w:bCs/>
                <w:sz w:val="20"/>
                <w:szCs w:val="20"/>
              </w:rPr>
              <w:t>1.6%</w:t>
            </w:r>
          </w:p>
        </w:tc>
        <w:tc>
          <w:tcPr>
            <w:tcW w:w="828" w:type="dxa"/>
            <w:tcBorders>
              <w:top w:val="nil"/>
              <w:left w:val="nil"/>
              <w:bottom w:val="nil"/>
              <w:right w:val="nil"/>
            </w:tcBorders>
            <w:noWrap/>
            <w:vAlign w:val="bottom"/>
          </w:tcPr>
          <w:p w:rsidR="00000000" w:rsidRDefault="00D35856">
            <w:pPr>
              <w:spacing w:after="0"/>
              <w:jc w:val="right"/>
              <w:rPr>
                <w:rFonts w:ascii="Arial" w:hAnsi="Arial" w:cs="Arial"/>
                <w:b/>
                <w:bCs/>
                <w:sz w:val="20"/>
                <w:szCs w:val="20"/>
              </w:rPr>
            </w:pPr>
            <w:r>
              <w:rPr>
                <w:rFonts w:ascii="Arial" w:hAnsi="Arial" w:cs="Arial"/>
                <w:b/>
                <w:bCs/>
                <w:sz w:val="20"/>
                <w:szCs w:val="20"/>
              </w:rPr>
              <w:t>3.5%</w:t>
            </w:r>
          </w:p>
        </w:tc>
        <w:tc>
          <w:tcPr>
            <w:tcW w:w="828" w:type="dxa"/>
            <w:tcBorders>
              <w:top w:val="nil"/>
              <w:left w:val="nil"/>
              <w:bottom w:val="nil"/>
              <w:right w:val="nil"/>
            </w:tcBorders>
            <w:noWrap/>
            <w:vAlign w:val="bottom"/>
          </w:tcPr>
          <w:p w:rsidR="00000000" w:rsidRDefault="00D35856">
            <w:pPr>
              <w:spacing w:after="0"/>
              <w:jc w:val="right"/>
              <w:rPr>
                <w:rFonts w:ascii="Arial" w:hAnsi="Arial" w:cs="Arial"/>
                <w:b/>
                <w:bCs/>
                <w:sz w:val="20"/>
                <w:szCs w:val="20"/>
              </w:rPr>
            </w:pPr>
            <w:r>
              <w:rPr>
                <w:rFonts w:ascii="Arial" w:hAnsi="Arial" w:cs="Arial"/>
                <w:b/>
                <w:bCs/>
                <w:sz w:val="20"/>
                <w:szCs w:val="20"/>
              </w:rPr>
              <w:t>4%</w:t>
            </w:r>
          </w:p>
        </w:tc>
        <w:tc>
          <w:tcPr>
            <w:tcW w:w="828" w:type="dxa"/>
            <w:tcBorders>
              <w:top w:val="nil"/>
              <w:left w:val="nil"/>
              <w:bottom w:val="nil"/>
              <w:right w:val="nil"/>
            </w:tcBorders>
            <w:noWrap/>
            <w:vAlign w:val="bottom"/>
          </w:tcPr>
          <w:p w:rsidR="00000000" w:rsidRDefault="00D35856">
            <w:pPr>
              <w:spacing w:after="0"/>
              <w:jc w:val="right"/>
              <w:rPr>
                <w:rFonts w:ascii="Arial" w:hAnsi="Arial" w:cs="Arial"/>
                <w:b/>
                <w:bCs/>
                <w:sz w:val="20"/>
                <w:szCs w:val="20"/>
              </w:rPr>
            </w:pPr>
            <w:r>
              <w:rPr>
                <w:rFonts w:ascii="Arial" w:hAnsi="Arial" w:cs="Arial"/>
                <w:b/>
                <w:bCs/>
                <w:sz w:val="20"/>
                <w:szCs w:val="20"/>
              </w:rPr>
              <w:t>7%</w:t>
            </w:r>
          </w:p>
        </w:tc>
        <w:tc>
          <w:tcPr>
            <w:tcW w:w="828" w:type="dxa"/>
            <w:tcBorders>
              <w:top w:val="nil"/>
              <w:left w:val="nil"/>
              <w:bottom w:val="nil"/>
              <w:right w:val="nil"/>
            </w:tcBorders>
            <w:noWrap/>
            <w:vAlign w:val="bottom"/>
          </w:tcPr>
          <w:p w:rsidR="00000000" w:rsidRDefault="00D35856">
            <w:pPr>
              <w:spacing w:after="0"/>
              <w:jc w:val="right"/>
              <w:rPr>
                <w:rFonts w:ascii="Arial" w:hAnsi="Arial" w:cs="Arial"/>
                <w:b/>
                <w:bCs/>
                <w:sz w:val="20"/>
                <w:szCs w:val="20"/>
              </w:rPr>
            </w:pPr>
            <w:r>
              <w:rPr>
                <w:rFonts w:ascii="Arial" w:hAnsi="Arial" w:cs="Arial"/>
                <w:b/>
                <w:bCs/>
                <w:sz w:val="20"/>
                <w:szCs w:val="20"/>
              </w:rPr>
              <w:t>10%</w:t>
            </w: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r>
              <w:rPr>
                <w:rFonts w:ascii="Arial" w:hAnsi="Arial" w:cs="Arial"/>
                <w:sz w:val="20"/>
                <w:szCs w:val="20"/>
                <w:lang w:val="en-US"/>
              </w:rPr>
              <w:t>Annual rate of increase</w:t>
            </w: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0%</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$76</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$63</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$59</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$44</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$34</w:t>
            </w: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r>
              <w:rPr>
                <w:rFonts w:ascii="Arial" w:hAnsi="Arial" w:cs="Arial"/>
                <w:sz w:val="20"/>
                <w:szCs w:val="20"/>
                <w:lang w:val="en-US"/>
              </w:rPr>
              <w:t>real energy tariff</w:t>
            </w: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5%</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$124</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$101</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$96</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$70</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$52</w:t>
            </w: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10%</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$203</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$164</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$155</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$112</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$82</w:t>
            </w: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r>
      <w:tr w:rsidR="00000000">
        <w:tc>
          <w:tcPr>
            <w:tcW w:w="3481" w:type="dxa"/>
            <w:gridSpan w:val="2"/>
            <w:tcBorders>
              <w:top w:val="single" w:sz="8" w:space="0" w:color="auto"/>
              <w:left w:val="single" w:sz="8" w:space="0" w:color="auto"/>
              <w:bottom w:val="single" w:sz="8" w:space="0" w:color="auto"/>
              <w:right w:val="single" w:sz="8" w:space="0" w:color="000000"/>
            </w:tcBorders>
            <w:shd w:val="clear" w:color="auto" w:fill="CCFFCC"/>
            <w:noWrap/>
            <w:vAlign w:val="bottom"/>
          </w:tcPr>
          <w:p w:rsidR="00000000" w:rsidRDefault="00D35856">
            <w:pPr>
              <w:keepNext w:val="0"/>
              <w:spacing w:after="0"/>
              <w:jc w:val="left"/>
              <w:rPr>
                <w:rFonts w:ascii="Arial" w:hAnsi="Arial" w:cs="Arial"/>
                <w:b/>
                <w:bCs/>
                <w:sz w:val="20"/>
                <w:szCs w:val="20"/>
                <w:lang w:val="en-US"/>
              </w:rPr>
            </w:pPr>
            <w:r>
              <w:rPr>
                <w:rFonts w:ascii="Arial" w:hAnsi="Arial" w:cs="Arial"/>
                <w:b/>
                <w:bCs/>
                <w:sz w:val="20"/>
                <w:szCs w:val="20"/>
                <w:lang w:val="en-US"/>
              </w:rPr>
              <w:t>GREENHOUSE PERSPECTIVE</w:t>
            </w: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single" w:sz="8" w:space="0" w:color="auto"/>
              <w:left w:val="single" w:sz="8" w:space="0" w:color="auto"/>
              <w:bottom w:val="single" w:sz="8" w:space="0" w:color="auto"/>
              <w:right w:val="single" w:sz="8" w:space="0" w:color="auto"/>
            </w:tcBorders>
            <w:vAlign w:val="bottom"/>
          </w:tcPr>
          <w:p w:rsidR="00000000" w:rsidRDefault="00D35856">
            <w:pPr>
              <w:keepNext w:val="0"/>
              <w:spacing w:after="0"/>
              <w:jc w:val="left"/>
              <w:rPr>
                <w:rFonts w:ascii="Arial" w:hAnsi="Arial" w:cs="Arial"/>
                <w:b/>
                <w:bCs/>
                <w:sz w:val="20"/>
                <w:szCs w:val="20"/>
                <w:lang w:val="en-US"/>
              </w:rPr>
            </w:pPr>
            <w:r>
              <w:rPr>
                <w:rFonts w:ascii="Arial" w:hAnsi="Arial" w:cs="Arial"/>
                <w:b/>
                <w:bCs/>
                <w:sz w:val="20"/>
                <w:szCs w:val="20"/>
                <w:lang w:val="en-US"/>
              </w:rPr>
              <w:t>Avoided GHG Costs due to avoided water heating</w:t>
            </w: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right"/>
              <w:rPr>
                <w:rFonts w:ascii="Arial" w:hAnsi="Arial" w:cs="Arial"/>
                <w:b/>
                <w:bCs/>
                <w:sz w:val="20"/>
                <w:szCs w:val="20"/>
                <w:lang w:val="en-US"/>
              </w:rPr>
            </w:pPr>
            <w:r>
              <w:rPr>
                <w:rFonts w:ascii="Arial" w:hAnsi="Arial" w:cs="Arial"/>
                <w:b/>
                <w:bCs/>
                <w:sz w:val="20"/>
                <w:szCs w:val="20"/>
                <w:lang w:val="en-US"/>
              </w:rPr>
              <w:t>1.6%</w:t>
            </w:r>
          </w:p>
        </w:tc>
        <w:tc>
          <w:tcPr>
            <w:tcW w:w="828" w:type="dxa"/>
            <w:tcBorders>
              <w:top w:val="nil"/>
              <w:left w:val="nil"/>
              <w:bottom w:val="nil"/>
              <w:right w:val="nil"/>
            </w:tcBorders>
            <w:noWrap/>
            <w:vAlign w:val="bottom"/>
          </w:tcPr>
          <w:p w:rsidR="00000000" w:rsidRDefault="00D35856">
            <w:pPr>
              <w:keepNext w:val="0"/>
              <w:spacing w:after="0"/>
              <w:jc w:val="right"/>
              <w:rPr>
                <w:rFonts w:ascii="Arial" w:hAnsi="Arial" w:cs="Arial"/>
                <w:b/>
                <w:bCs/>
                <w:sz w:val="20"/>
                <w:szCs w:val="20"/>
                <w:lang w:val="en-US"/>
              </w:rPr>
            </w:pPr>
            <w:r>
              <w:rPr>
                <w:rFonts w:ascii="Arial" w:hAnsi="Arial" w:cs="Arial"/>
                <w:b/>
                <w:bCs/>
                <w:sz w:val="20"/>
                <w:szCs w:val="20"/>
                <w:lang w:val="en-US"/>
              </w:rPr>
              <w:t>3.5%</w:t>
            </w:r>
          </w:p>
        </w:tc>
        <w:tc>
          <w:tcPr>
            <w:tcW w:w="828" w:type="dxa"/>
            <w:tcBorders>
              <w:top w:val="nil"/>
              <w:left w:val="nil"/>
              <w:bottom w:val="nil"/>
              <w:right w:val="nil"/>
            </w:tcBorders>
            <w:noWrap/>
            <w:vAlign w:val="bottom"/>
          </w:tcPr>
          <w:p w:rsidR="00000000" w:rsidRDefault="00D35856">
            <w:pPr>
              <w:keepNext w:val="0"/>
              <w:spacing w:after="0"/>
              <w:jc w:val="right"/>
              <w:rPr>
                <w:rFonts w:ascii="Arial" w:hAnsi="Arial" w:cs="Arial"/>
                <w:b/>
                <w:bCs/>
                <w:sz w:val="20"/>
                <w:szCs w:val="20"/>
                <w:lang w:val="en-US"/>
              </w:rPr>
            </w:pPr>
            <w:r>
              <w:rPr>
                <w:rFonts w:ascii="Arial" w:hAnsi="Arial" w:cs="Arial"/>
                <w:b/>
                <w:bCs/>
                <w:sz w:val="20"/>
                <w:szCs w:val="20"/>
                <w:lang w:val="en-US"/>
              </w:rPr>
              <w:t>4%</w:t>
            </w:r>
          </w:p>
        </w:tc>
        <w:tc>
          <w:tcPr>
            <w:tcW w:w="828" w:type="dxa"/>
            <w:tcBorders>
              <w:top w:val="nil"/>
              <w:left w:val="nil"/>
              <w:bottom w:val="nil"/>
              <w:right w:val="nil"/>
            </w:tcBorders>
            <w:noWrap/>
            <w:vAlign w:val="bottom"/>
          </w:tcPr>
          <w:p w:rsidR="00000000" w:rsidRDefault="00D35856">
            <w:pPr>
              <w:keepNext w:val="0"/>
              <w:spacing w:after="0"/>
              <w:jc w:val="right"/>
              <w:rPr>
                <w:rFonts w:ascii="Arial" w:hAnsi="Arial" w:cs="Arial"/>
                <w:b/>
                <w:bCs/>
                <w:sz w:val="20"/>
                <w:szCs w:val="20"/>
                <w:lang w:val="en-US"/>
              </w:rPr>
            </w:pPr>
            <w:r>
              <w:rPr>
                <w:rFonts w:ascii="Arial" w:hAnsi="Arial" w:cs="Arial"/>
                <w:b/>
                <w:bCs/>
                <w:sz w:val="20"/>
                <w:szCs w:val="20"/>
                <w:lang w:val="en-US"/>
              </w:rPr>
              <w:t>7%</w:t>
            </w:r>
          </w:p>
        </w:tc>
        <w:tc>
          <w:tcPr>
            <w:tcW w:w="828" w:type="dxa"/>
            <w:tcBorders>
              <w:top w:val="nil"/>
              <w:left w:val="nil"/>
              <w:bottom w:val="nil"/>
              <w:right w:val="nil"/>
            </w:tcBorders>
            <w:noWrap/>
            <w:vAlign w:val="bottom"/>
          </w:tcPr>
          <w:p w:rsidR="00000000" w:rsidRDefault="00D35856">
            <w:pPr>
              <w:keepNext w:val="0"/>
              <w:spacing w:after="0"/>
              <w:jc w:val="right"/>
              <w:rPr>
                <w:rFonts w:ascii="Arial" w:hAnsi="Arial" w:cs="Arial"/>
                <w:b/>
                <w:bCs/>
                <w:sz w:val="20"/>
                <w:szCs w:val="20"/>
                <w:lang w:val="en-US"/>
              </w:rPr>
            </w:pPr>
            <w:r>
              <w:rPr>
                <w:rFonts w:ascii="Arial" w:hAnsi="Arial" w:cs="Arial"/>
                <w:b/>
                <w:bCs/>
                <w:sz w:val="20"/>
                <w:szCs w:val="20"/>
                <w:lang w:val="en-US"/>
              </w:rPr>
              <w:t>10%</w:t>
            </w: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r>
              <w:rPr>
                <w:rFonts w:ascii="Arial" w:hAnsi="Arial" w:cs="Arial"/>
                <w:sz w:val="20"/>
                <w:szCs w:val="20"/>
                <w:lang w:val="en-US"/>
              </w:rPr>
              <w:t>$/tCO2</w:t>
            </w: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$20</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$100</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$81</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$77</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$56</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$42</w:t>
            </w: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$50</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$249</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$202</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$192</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$141</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$106</w:t>
            </w: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$100</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$498</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$405</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$384</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$282</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$211</w:t>
            </w: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single" w:sz="8" w:space="0" w:color="auto"/>
              <w:left w:val="single" w:sz="8" w:space="0" w:color="auto"/>
              <w:bottom w:val="single" w:sz="8" w:space="0" w:color="auto"/>
              <w:right w:val="single" w:sz="8" w:space="0" w:color="auto"/>
            </w:tcBorders>
            <w:vAlign w:val="bottom"/>
          </w:tcPr>
          <w:p w:rsidR="00000000" w:rsidRDefault="00D35856">
            <w:pPr>
              <w:keepNext w:val="0"/>
              <w:spacing w:after="0"/>
              <w:jc w:val="left"/>
              <w:rPr>
                <w:rFonts w:ascii="Arial" w:hAnsi="Arial" w:cs="Arial"/>
                <w:b/>
                <w:bCs/>
                <w:sz w:val="20"/>
                <w:szCs w:val="20"/>
                <w:lang w:val="en-US"/>
              </w:rPr>
            </w:pPr>
            <w:r>
              <w:rPr>
                <w:rFonts w:ascii="Arial" w:hAnsi="Arial" w:cs="Arial"/>
                <w:b/>
                <w:bCs/>
                <w:sz w:val="20"/>
                <w:szCs w:val="20"/>
                <w:lang w:val="en-US"/>
              </w:rPr>
              <w:t>Avoided GHG Costs due to avoided pumping</w:t>
            </w: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right"/>
              <w:rPr>
                <w:rFonts w:ascii="Arial" w:hAnsi="Arial" w:cs="Arial"/>
                <w:b/>
                <w:bCs/>
                <w:sz w:val="20"/>
                <w:szCs w:val="20"/>
                <w:lang w:val="en-US"/>
              </w:rPr>
            </w:pPr>
            <w:r>
              <w:rPr>
                <w:rFonts w:ascii="Arial" w:hAnsi="Arial" w:cs="Arial"/>
                <w:b/>
                <w:bCs/>
                <w:sz w:val="20"/>
                <w:szCs w:val="20"/>
                <w:lang w:val="en-US"/>
              </w:rPr>
              <w:t>1.6%</w:t>
            </w:r>
          </w:p>
        </w:tc>
        <w:tc>
          <w:tcPr>
            <w:tcW w:w="828" w:type="dxa"/>
            <w:tcBorders>
              <w:top w:val="nil"/>
              <w:left w:val="nil"/>
              <w:bottom w:val="nil"/>
              <w:right w:val="nil"/>
            </w:tcBorders>
            <w:noWrap/>
            <w:vAlign w:val="bottom"/>
          </w:tcPr>
          <w:p w:rsidR="00000000" w:rsidRDefault="00D35856">
            <w:pPr>
              <w:keepNext w:val="0"/>
              <w:spacing w:after="0"/>
              <w:jc w:val="right"/>
              <w:rPr>
                <w:rFonts w:ascii="Arial" w:hAnsi="Arial" w:cs="Arial"/>
                <w:b/>
                <w:bCs/>
                <w:sz w:val="20"/>
                <w:szCs w:val="20"/>
                <w:lang w:val="en-US"/>
              </w:rPr>
            </w:pPr>
            <w:r>
              <w:rPr>
                <w:rFonts w:ascii="Arial" w:hAnsi="Arial" w:cs="Arial"/>
                <w:b/>
                <w:bCs/>
                <w:sz w:val="20"/>
                <w:szCs w:val="20"/>
                <w:lang w:val="en-US"/>
              </w:rPr>
              <w:t>3.5%</w:t>
            </w:r>
          </w:p>
        </w:tc>
        <w:tc>
          <w:tcPr>
            <w:tcW w:w="828" w:type="dxa"/>
            <w:tcBorders>
              <w:top w:val="nil"/>
              <w:left w:val="nil"/>
              <w:bottom w:val="nil"/>
              <w:right w:val="nil"/>
            </w:tcBorders>
            <w:noWrap/>
            <w:vAlign w:val="bottom"/>
          </w:tcPr>
          <w:p w:rsidR="00000000" w:rsidRDefault="00D35856">
            <w:pPr>
              <w:keepNext w:val="0"/>
              <w:spacing w:after="0"/>
              <w:jc w:val="right"/>
              <w:rPr>
                <w:rFonts w:ascii="Arial" w:hAnsi="Arial" w:cs="Arial"/>
                <w:b/>
                <w:bCs/>
                <w:sz w:val="20"/>
                <w:szCs w:val="20"/>
                <w:lang w:val="en-US"/>
              </w:rPr>
            </w:pPr>
            <w:r>
              <w:rPr>
                <w:rFonts w:ascii="Arial" w:hAnsi="Arial" w:cs="Arial"/>
                <w:b/>
                <w:bCs/>
                <w:sz w:val="20"/>
                <w:szCs w:val="20"/>
                <w:lang w:val="en-US"/>
              </w:rPr>
              <w:t>4%</w:t>
            </w:r>
          </w:p>
        </w:tc>
        <w:tc>
          <w:tcPr>
            <w:tcW w:w="828" w:type="dxa"/>
            <w:tcBorders>
              <w:top w:val="nil"/>
              <w:left w:val="nil"/>
              <w:bottom w:val="nil"/>
              <w:right w:val="nil"/>
            </w:tcBorders>
            <w:noWrap/>
            <w:vAlign w:val="bottom"/>
          </w:tcPr>
          <w:p w:rsidR="00000000" w:rsidRDefault="00D35856">
            <w:pPr>
              <w:keepNext w:val="0"/>
              <w:spacing w:after="0"/>
              <w:jc w:val="right"/>
              <w:rPr>
                <w:rFonts w:ascii="Arial" w:hAnsi="Arial" w:cs="Arial"/>
                <w:b/>
                <w:bCs/>
                <w:sz w:val="20"/>
                <w:szCs w:val="20"/>
                <w:lang w:val="en-US"/>
              </w:rPr>
            </w:pPr>
            <w:r>
              <w:rPr>
                <w:rFonts w:ascii="Arial" w:hAnsi="Arial" w:cs="Arial"/>
                <w:b/>
                <w:bCs/>
                <w:sz w:val="20"/>
                <w:szCs w:val="20"/>
                <w:lang w:val="en-US"/>
              </w:rPr>
              <w:t>7%</w:t>
            </w:r>
          </w:p>
        </w:tc>
        <w:tc>
          <w:tcPr>
            <w:tcW w:w="828" w:type="dxa"/>
            <w:tcBorders>
              <w:top w:val="nil"/>
              <w:left w:val="nil"/>
              <w:bottom w:val="nil"/>
              <w:right w:val="nil"/>
            </w:tcBorders>
            <w:noWrap/>
            <w:vAlign w:val="bottom"/>
          </w:tcPr>
          <w:p w:rsidR="00000000" w:rsidRDefault="00D35856">
            <w:pPr>
              <w:keepNext w:val="0"/>
              <w:spacing w:after="0"/>
              <w:jc w:val="right"/>
              <w:rPr>
                <w:rFonts w:ascii="Arial" w:hAnsi="Arial" w:cs="Arial"/>
                <w:b/>
                <w:bCs/>
                <w:sz w:val="20"/>
                <w:szCs w:val="20"/>
                <w:lang w:val="en-US"/>
              </w:rPr>
            </w:pPr>
            <w:r>
              <w:rPr>
                <w:rFonts w:ascii="Arial" w:hAnsi="Arial" w:cs="Arial"/>
                <w:b/>
                <w:bCs/>
                <w:sz w:val="20"/>
                <w:szCs w:val="20"/>
                <w:lang w:val="en-US"/>
              </w:rPr>
              <w:t>10%</w:t>
            </w: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$20</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$9</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$7</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$7</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$5</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$4</w:t>
            </w: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$50</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$22</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$18</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$17</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$13</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$10</w:t>
            </w: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$100</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$44</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$36</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$34</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$25</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$19</w:t>
            </w: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single" w:sz="8" w:space="0" w:color="auto"/>
              <w:left w:val="single" w:sz="8" w:space="0" w:color="auto"/>
              <w:bottom w:val="single" w:sz="8" w:space="0" w:color="auto"/>
              <w:right w:val="single" w:sz="8" w:space="0" w:color="auto"/>
            </w:tcBorders>
            <w:vAlign w:val="bottom"/>
          </w:tcPr>
          <w:p w:rsidR="00000000" w:rsidRDefault="00D35856">
            <w:pPr>
              <w:keepNext w:val="0"/>
              <w:spacing w:after="0"/>
              <w:jc w:val="left"/>
              <w:rPr>
                <w:rFonts w:ascii="Arial" w:hAnsi="Arial" w:cs="Arial"/>
                <w:b/>
                <w:bCs/>
                <w:sz w:val="20"/>
                <w:szCs w:val="20"/>
                <w:lang w:val="en-US"/>
              </w:rPr>
            </w:pPr>
            <w:r>
              <w:rPr>
                <w:rFonts w:ascii="Arial" w:hAnsi="Arial" w:cs="Arial"/>
                <w:b/>
                <w:bCs/>
                <w:sz w:val="20"/>
                <w:szCs w:val="20"/>
                <w:lang w:val="en-US"/>
              </w:rPr>
              <w:t>Total avoided GHG costs</w:t>
            </w: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828" w:type="dxa"/>
            <w:tcBorders>
              <w:top w:val="nil"/>
              <w:left w:val="nil"/>
              <w:bottom w:val="nil"/>
              <w:right w:val="nil"/>
            </w:tcBorders>
            <w:noWrap/>
            <w:vAlign w:val="bottom"/>
          </w:tcPr>
          <w:p w:rsidR="00000000" w:rsidRDefault="00D35856">
            <w:pPr>
              <w:keepNext w:val="0"/>
              <w:spacing w:after="0"/>
              <w:jc w:val="right"/>
              <w:rPr>
                <w:rFonts w:ascii="Arial" w:hAnsi="Arial" w:cs="Arial"/>
                <w:b/>
                <w:bCs/>
                <w:sz w:val="20"/>
                <w:szCs w:val="20"/>
                <w:lang w:val="en-US"/>
              </w:rPr>
            </w:pPr>
            <w:r>
              <w:rPr>
                <w:rFonts w:ascii="Arial" w:hAnsi="Arial" w:cs="Arial"/>
                <w:b/>
                <w:bCs/>
                <w:sz w:val="20"/>
                <w:szCs w:val="20"/>
                <w:lang w:val="en-US"/>
              </w:rPr>
              <w:t>1.6%</w:t>
            </w:r>
          </w:p>
        </w:tc>
        <w:tc>
          <w:tcPr>
            <w:tcW w:w="828" w:type="dxa"/>
            <w:tcBorders>
              <w:top w:val="nil"/>
              <w:left w:val="nil"/>
              <w:bottom w:val="nil"/>
              <w:right w:val="nil"/>
            </w:tcBorders>
            <w:noWrap/>
            <w:vAlign w:val="bottom"/>
          </w:tcPr>
          <w:p w:rsidR="00000000" w:rsidRDefault="00D35856">
            <w:pPr>
              <w:keepNext w:val="0"/>
              <w:spacing w:after="0"/>
              <w:jc w:val="right"/>
              <w:rPr>
                <w:rFonts w:ascii="Arial" w:hAnsi="Arial" w:cs="Arial"/>
                <w:b/>
                <w:bCs/>
                <w:sz w:val="20"/>
                <w:szCs w:val="20"/>
                <w:lang w:val="en-US"/>
              </w:rPr>
            </w:pPr>
            <w:r>
              <w:rPr>
                <w:rFonts w:ascii="Arial" w:hAnsi="Arial" w:cs="Arial"/>
                <w:b/>
                <w:bCs/>
                <w:sz w:val="20"/>
                <w:szCs w:val="20"/>
                <w:lang w:val="en-US"/>
              </w:rPr>
              <w:t>3.5%</w:t>
            </w:r>
          </w:p>
        </w:tc>
        <w:tc>
          <w:tcPr>
            <w:tcW w:w="828" w:type="dxa"/>
            <w:tcBorders>
              <w:top w:val="nil"/>
              <w:left w:val="nil"/>
              <w:bottom w:val="nil"/>
              <w:right w:val="nil"/>
            </w:tcBorders>
            <w:noWrap/>
            <w:vAlign w:val="bottom"/>
          </w:tcPr>
          <w:p w:rsidR="00000000" w:rsidRDefault="00D35856">
            <w:pPr>
              <w:keepNext w:val="0"/>
              <w:spacing w:after="0"/>
              <w:jc w:val="right"/>
              <w:rPr>
                <w:rFonts w:ascii="Arial" w:hAnsi="Arial" w:cs="Arial"/>
                <w:b/>
                <w:bCs/>
                <w:sz w:val="20"/>
                <w:szCs w:val="20"/>
                <w:lang w:val="en-US"/>
              </w:rPr>
            </w:pPr>
            <w:r>
              <w:rPr>
                <w:rFonts w:ascii="Arial" w:hAnsi="Arial" w:cs="Arial"/>
                <w:b/>
                <w:bCs/>
                <w:sz w:val="20"/>
                <w:szCs w:val="20"/>
                <w:lang w:val="en-US"/>
              </w:rPr>
              <w:t>4%</w:t>
            </w:r>
          </w:p>
        </w:tc>
        <w:tc>
          <w:tcPr>
            <w:tcW w:w="828" w:type="dxa"/>
            <w:tcBorders>
              <w:top w:val="nil"/>
              <w:left w:val="nil"/>
              <w:bottom w:val="nil"/>
              <w:right w:val="nil"/>
            </w:tcBorders>
            <w:noWrap/>
            <w:vAlign w:val="bottom"/>
          </w:tcPr>
          <w:p w:rsidR="00000000" w:rsidRDefault="00D35856">
            <w:pPr>
              <w:keepNext w:val="0"/>
              <w:spacing w:after="0"/>
              <w:jc w:val="right"/>
              <w:rPr>
                <w:rFonts w:ascii="Arial" w:hAnsi="Arial" w:cs="Arial"/>
                <w:b/>
                <w:bCs/>
                <w:sz w:val="20"/>
                <w:szCs w:val="20"/>
                <w:lang w:val="en-US"/>
              </w:rPr>
            </w:pPr>
            <w:r>
              <w:rPr>
                <w:rFonts w:ascii="Arial" w:hAnsi="Arial" w:cs="Arial"/>
                <w:b/>
                <w:bCs/>
                <w:sz w:val="20"/>
                <w:szCs w:val="20"/>
                <w:lang w:val="en-US"/>
              </w:rPr>
              <w:t>7%</w:t>
            </w:r>
          </w:p>
        </w:tc>
        <w:tc>
          <w:tcPr>
            <w:tcW w:w="828" w:type="dxa"/>
            <w:tcBorders>
              <w:top w:val="nil"/>
              <w:left w:val="nil"/>
              <w:bottom w:val="nil"/>
              <w:right w:val="nil"/>
            </w:tcBorders>
            <w:noWrap/>
            <w:vAlign w:val="bottom"/>
          </w:tcPr>
          <w:p w:rsidR="00000000" w:rsidRDefault="00D35856">
            <w:pPr>
              <w:keepNext w:val="0"/>
              <w:spacing w:after="0"/>
              <w:jc w:val="right"/>
              <w:rPr>
                <w:rFonts w:ascii="Arial" w:hAnsi="Arial" w:cs="Arial"/>
                <w:b/>
                <w:bCs/>
                <w:sz w:val="20"/>
                <w:szCs w:val="20"/>
                <w:lang w:val="en-US"/>
              </w:rPr>
            </w:pPr>
            <w:r>
              <w:rPr>
                <w:rFonts w:ascii="Arial" w:hAnsi="Arial" w:cs="Arial"/>
                <w:b/>
                <w:bCs/>
                <w:sz w:val="20"/>
                <w:szCs w:val="20"/>
                <w:lang w:val="en-US"/>
              </w:rPr>
              <w:t>10%</w:t>
            </w: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$20</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$108</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$88</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$84</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$61</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$46</w:t>
            </w: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$50</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$271</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$220</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$209</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$154</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$115</w:t>
            </w:r>
          </w:p>
        </w:tc>
      </w:tr>
      <w:tr w:rsidR="00000000">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3245"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236" w:type="dxa"/>
            <w:tcBorders>
              <w:top w:val="nil"/>
              <w:left w:val="nil"/>
              <w:bottom w:val="nil"/>
              <w:right w:val="nil"/>
            </w:tcBorders>
            <w:noWrap/>
            <w:vAlign w:val="bottom"/>
          </w:tcPr>
          <w:p w:rsidR="00000000" w:rsidRDefault="00D35856">
            <w:pPr>
              <w:keepNext w:val="0"/>
              <w:spacing w:after="0"/>
              <w:jc w:val="left"/>
              <w:rPr>
                <w:rFonts w:ascii="Arial" w:hAnsi="Arial" w:cs="Arial"/>
                <w:sz w:val="20"/>
                <w:szCs w:val="20"/>
                <w:lang w:val="en-US"/>
              </w:rPr>
            </w:pPr>
          </w:p>
        </w:tc>
        <w:tc>
          <w:tcPr>
            <w:tcW w:w="661" w:type="dxa"/>
            <w:tcBorders>
              <w:top w:val="nil"/>
              <w:left w:val="nil"/>
              <w:bottom w:val="nil"/>
              <w:right w:val="nil"/>
            </w:tcBorders>
            <w:noWrap/>
            <w:vAlign w:val="bottom"/>
          </w:tcPr>
          <w:p w:rsidR="00000000" w:rsidRDefault="00D35856">
            <w:pPr>
              <w:keepNext w:val="0"/>
              <w:spacing w:after="0"/>
              <w:jc w:val="right"/>
              <w:rPr>
                <w:rFonts w:ascii="Arial" w:hAnsi="Arial" w:cs="Arial"/>
                <w:sz w:val="20"/>
                <w:szCs w:val="20"/>
                <w:lang w:val="en-US"/>
              </w:rPr>
            </w:pPr>
            <w:r>
              <w:rPr>
                <w:rFonts w:ascii="Arial" w:hAnsi="Arial" w:cs="Arial"/>
                <w:sz w:val="20"/>
                <w:szCs w:val="20"/>
                <w:lang w:val="en-US"/>
              </w:rPr>
              <w:t>$100</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$542</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$440</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$418</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$307</w:t>
            </w:r>
          </w:p>
        </w:tc>
        <w:tc>
          <w:tcPr>
            <w:tcW w:w="828" w:type="dxa"/>
            <w:tcBorders>
              <w:top w:val="nil"/>
              <w:left w:val="nil"/>
              <w:bottom w:val="nil"/>
              <w:right w:val="nil"/>
            </w:tcBorders>
            <w:noWrap/>
            <w:vAlign w:val="bottom"/>
          </w:tcPr>
          <w:p w:rsidR="00000000" w:rsidRDefault="00D35856">
            <w:pPr>
              <w:spacing w:after="0"/>
              <w:jc w:val="right"/>
              <w:rPr>
                <w:rFonts w:ascii="Arial" w:hAnsi="Arial" w:cs="Arial"/>
                <w:sz w:val="20"/>
                <w:szCs w:val="20"/>
              </w:rPr>
            </w:pPr>
            <w:r>
              <w:rPr>
                <w:rFonts w:ascii="Arial" w:hAnsi="Arial" w:cs="Arial"/>
                <w:sz w:val="20"/>
                <w:szCs w:val="20"/>
              </w:rPr>
              <w:t>$230</w:t>
            </w:r>
          </w:p>
        </w:tc>
      </w:tr>
    </w:tbl>
    <w:p w:rsidR="00000000" w:rsidRDefault="00D35856">
      <w:pPr>
        <w:keepNext w:val="0"/>
      </w:pPr>
    </w:p>
    <w:p w:rsidR="00000000" w:rsidRDefault="00D35856">
      <w:pPr>
        <w:keepNext w:val="0"/>
      </w:pPr>
    </w:p>
    <w:sectPr w:rsidR="00000000">
      <w:headerReference w:type="even" r:id="rId55"/>
      <w:headerReference w:type="default" r:id="rId56"/>
      <w:footerReference w:type="default" r:id="rId57"/>
      <w:headerReference w:type="first" r:id="rId58"/>
      <w:pgSz w:w="11900" w:h="16840" w:code="9"/>
      <w:pgMar w:top="1361" w:right="1701" w:bottom="1361" w:left="1701" w:header="680" w:footer="42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D35856">
      <w:r>
        <w:separator/>
      </w:r>
    </w:p>
  </w:endnote>
  <w:endnote w:type="continuationSeparator" w:id="0">
    <w:p w:rsidR="00000000" w:rsidRDefault="00D358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IN-Regular">
    <w:altName w:val="Arial Narrow"/>
    <w:panose1 w:val="00000000000000000000"/>
    <w:charset w:val="00"/>
    <w:family w:val="swiss"/>
    <w:notTrueType/>
    <w:pitch w:val="variable"/>
    <w:sig w:usb0="00000003" w:usb1="00000000" w:usb2="00000000" w:usb3="00000000" w:csb0="00000001" w:csb1="00000000"/>
  </w:font>
  <w:font w:name="DIN-Light">
    <w:panose1 w:val="00000000000000000000"/>
    <w:charset w:val="00"/>
    <w:family w:val="swiss"/>
    <w:notTrueType/>
    <w:pitch w:val="variable"/>
    <w:sig w:usb0="00000003" w:usb1="00000000" w:usb2="00000000" w:usb3="00000000" w:csb0="00000001" w:csb1="00000000"/>
  </w:font>
  <w:font w:name="DI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DIN-Medium">
    <w:panose1 w:val="00000000000000000000"/>
    <w:charset w:val="00"/>
    <w:family w:val="swiss"/>
    <w:notTrueType/>
    <w:pitch w:val="variable"/>
    <w:sig w:usb0="00000003" w:usb1="00000000" w:usb2="00000000" w:usb3="00000000" w:csb0="00000001" w:csb1="00000000"/>
  </w:font>
  <w:font w:name="DIN-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BellGothic Bd BT">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0BF"/>
    </w:tblPr>
    <w:tblGrid>
      <w:gridCol w:w="4388"/>
      <w:gridCol w:w="4325"/>
    </w:tblGrid>
    <w:tr w:rsidR="00000000">
      <w:trPr>
        <w:trHeight w:val="509"/>
      </w:trPr>
      <w:tc>
        <w:tcPr>
          <w:tcW w:w="4579" w:type="dxa"/>
          <w:tcBorders>
            <w:top w:val="single" w:sz="4" w:space="0" w:color="auto"/>
          </w:tcBorders>
        </w:tcPr>
        <w:p w:rsidR="00000000" w:rsidRDefault="00D35856">
          <w:pPr>
            <w:rPr>
              <w:color w:val="333333"/>
              <w:sz w:val="20"/>
            </w:rPr>
          </w:pPr>
          <w:r>
            <w:rPr>
              <w:color w:val="333333"/>
              <w:sz w:val="20"/>
            </w:rPr>
            <w:t>Cost effectiveness analysis of WELS</w:t>
          </w:r>
        </w:p>
      </w:tc>
      <w:tc>
        <w:tcPr>
          <w:tcW w:w="4579" w:type="dxa"/>
          <w:tcBorders>
            <w:top w:val="single" w:sz="4" w:space="0" w:color="auto"/>
          </w:tcBorders>
        </w:tcPr>
        <w:p w:rsidR="00000000" w:rsidRDefault="00D35856">
          <w:pPr>
            <w:jc w:val="right"/>
            <w:rPr>
              <w:color w:val="333333"/>
              <w:sz w:val="20"/>
            </w:rPr>
          </w:pPr>
          <w:r>
            <w:rPr>
              <w:rStyle w:val="PageNumber"/>
              <w:rFonts w:ascii="Palatino Linotype" w:hAnsi="Palatino Linotype"/>
              <w:color w:val="333333"/>
              <w:sz w:val="20"/>
            </w:rPr>
            <w:fldChar w:fldCharType="begin"/>
          </w:r>
          <w:r>
            <w:rPr>
              <w:rStyle w:val="PageNumber"/>
              <w:rFonts w:ascii="Palatino Linotype" w:hAnsi="Palatino Linotype"/>
              <w:color w:val="333333"/>
              <w:sz w:val="20"/>
            </w:rPr>
            <w:instrText xml:space="preserve"> PAGE </w:instrText>
          </w:r>
          <w:r>
            <w:rPr>
              <w:rStyle w:val="PageNumber"/>
              <w:rFonts w:ascii="Palatino Linotype" w:hAnsi="Palatino Linotype"/>
              <w:color w:val="333333"/>
              <w:sz w:val="20"/>
            </w:rPr>
            <w:fldChar w:fldCharType="separate"/>
          </w:r>
          <w:r>
            <w:rPr>
              <w:rStyle w:val="PageNumber"/>
              <w:rFonts w:ascii="Palatino Linotype" w:hAnsi="Palatino Linotype"/>
              <w:noProof/>
              <w:color w:val="333333"/>
              <w:sz w:val="20"/>
            </w:rPr>
            <w:t>i</w:t>
          </w:r>
          <w:r>
            <w:rPr>
              <w:rStyle w:val="PageNumber"/>
              <w:rFonts w:ascii="Palatino Linotype" w:hAnsi="Palatino Linotype"/>
              <w:color w:val="333333"/>
              <w:sz w:val="20"/>
            </w:rPr>
            <w:fldChar w:fldCharType="end"/>
          </w:r>
        </w:p>
      </w:tc>
    </w:tr>
  </w:tbl>
  <w:p w:rsidR="00000000" w:rsidRDefault="00D35856">
    <w:pPr>
      <w:pStyle w:val="Footer"/>
      <w:rPr>
        <w:rFonts w:ascii="Palatino Linotype" w:hAnsi="Palatino Linotype"/>
        <w:color w:val="33333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0BF"/>
    </w:tblPr>
    <w:tblGrid>
      <w:gridCol w:w="4388"/>
      <w:gridCol w:w="4325"/>
    </w:tblGrid>
    <w:tr w:rsidR="00000000">
      <w:trPr>
        <w:trHeight w:val="488"/>
      </w:trPr>
      <w:tc>
        <w:tcPr>
          <w:tcW w:w="4587" w:type="dxa"/>
          <w:tcBorders>
            <w:top w:val="single" w:sz="4" w:space="0" w:color="auto"/>
          </w:tcBorders>
        </w:tcPr>
        <w:p w:rsidR="00000000" w:rsidRDefault="00D35856">
          <w:pPr>
            <w:rPr>
              <w:color w:val="333333"/>
              <w:sz w:val="20"/>
            </w:rPr>
          </w:pPr>
          <w:r>
            <w:rPr>
              <w:color w:val="333333"/>
              <w:sz w:val="20"/>
            </w:rPr>
            <w:t>Cost effectiveness analysis of WELS</w:t>
          </w:r>
        </w:p>
      </w:tc>
      <w:tc>
        <w:tcPr>
          <w:tcW w:w="4587" w:type="dxa"/>
          <w:tcBorders>
            <w:top w:val="single" w:sz="4" w:space="0" w:color="auto"/>
          </w:tcBorders>
        </w:tcPr>
        <w:p w:rsidR="00000000" w:rsidRDefault="00D35856">
          <w:pPr>
            <w:jc w:val="right"/>
            <w:rPr>
              <w:color w:val="333333"/>
              <w:sz w:val="20"/>
            </w:rPr>
          </w:pPr>
          <w:r>
            <w:rPr>
              <w:rStyle w:val="PageNumber"/>
              <w:rFonts w:ascii="Palatino Linotype" w:hAnsi="Palatino Linotype"/>
              <w:color w:val="333333"/>
              <w:sz w:val="20"/>
            </w:rPr>
            <w:fldChar w:fldCharType="begin"/>
          </w:r>
          <w:r>
            <w:rPr>
              <w:rStyle w:val="PageNumber"/>
              <w:rFonts w:ascii="Palatino Linotype" w:hAnsi="Palatino Linotype"/>
              <w:color w:val="333333"/>
              <w:sz w:val="20"/>
            </w:rPr>
            <w:instrText xml:space="preserve"> PAGE </w:instrText>
          </w:r>
          <w:r>
            <w:rPr>
              <w:rStyle w:val="PageNumber"/>
              <w:rFonts w:ascii="Palatino Linotype" w:hAnsi="Palatino Linotype"/>
              <w:color w:val="333333"/>
              <w:sz w:val="20"/>
            </w:rPr>
            <w:fldChar w:fldCharType="separate"/>
          </w:r>
          <w:r>
            <w:rPr>
              <w:rStyle w:val="PageNumber"/>
              <w:rFonts w:ascii="Palatino Linotype" w:hAnsi="Palatino Linotype"/>
              <w:noProof/>
              <w:color w:val="333333"/>
              <w:sz w:val="20"/>
            </w:rPr>
            <w:t>ii</w:t>
          </w:r>
          <w:r>
            <w:rPr>
              <w:rStyle w:val="PageNumber"/>
              <w:rFonts w:ascii="Palatino Linotype" w:hAnsi="Palatino Linotype"/>
              <w:color w:val="333333"/>
              <w:sz w:val="20"/>
            </w:rPr>
            <w:fldChar w:fldCharType="end"/>
          </w:r>
        </w:p>
      </w:tc>
    </w:tr>
  </w:tbl>
  <w:p w:rsidR="00000000" w:rsidRDefault="00D35856">
    <w:pPr>
      <w:pStyle w:val="Footer"/>
      <w:rPr>
        <w:rFonts w:ascii="Palatino Linotype" w:hAnsi="Palatino Linotype"/>
        <w:color w:val="333333"/>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0BF"/>
    </w:tblPr>
    <w:tblGrid>
      <w:gridCol w:w="4385"/>
      <w:gridCol w:w="4329"/>
    </w:tblGrid>
    <w:tr w:rsidR="00000000">
      <w:trPr>
        <w:trHeight w:val="274"/>
      </w:trPr>
      <w:tc>
        <w:tcPr>
          <w:tcW w:w="4579" w:type="dxa"/>
          <w:tcBorders>
            <w:top w:val="single" w:sz="4" w:space="0" w:color="auto"/>
          </w:tcBorders>
        </w:tcPr>
        <w:p w:rsidR="00000000" w:rsidRDefault="00D35856">
          <w:pPr>
            <w:keepNext w:val="0"/>
            <w:widowControl w:val="0"/>
            <w:spacing w:after="0"/>
            <w:rPr>
              <w:color w:val="333333"/>
              <w:sz w:val="20"/>
            </w:rPr>
          </w:pPr>
          <w:r>
            <w:rPr>
              <w:color w:val="333333"/>
              <w:sz w:val="20"/>
            </w:rPr>
            <w:t>Cost effectiveness analysis of WELS</w:t>
          </w:r>
        </w:p>
      </w:tc>
      <w:tc>
        <w:tcPr>
          <w:tcW w:w="4579" w:type="dxa"/>
          <w:tcBorders>
            <w:top w:val="single" w:sz="4" w:space="0" w:color="auto"/>
          </w:tcBorders>
        </w:tcPr>
        <w:p w:rsidR="00000000" w:rsidRDefault="00D35856">
          <w:pPr>
            <w:keepNext w:val="0"/>
            <w:widowControl w:val="0"/>
            <w:spacing w:after="0"/>
            <w:jc w:val="right"/>
            <w:rPr>
              <w:sz w:val="20"/>
            </w:rPr>
          </w:pPr>
          <w:r>
            <w:rPr>
              <w:rStyle w:val="PageNumber"/>
              <w:rFonts w:ascii="Palatino Linotype" w:hAnsi="Palatino Linotype"/>
              <w:sz w:val="20"/>
            </w:rPr>
            <w:fldChar w:fldCharType="begin"/>
          </w:r>
          <w:r>
            <w:rPr>
              <w:rStyle w:val="PageNumber"/>
              <w:rFonts w:ascii="Palatino Linotype" w:hAnsi="Palatino Linotype"/>
              <w:sz w:val="20"/>
            </w:rPr>
            <w:instrText xml:space="preserve"> PAGE </w:instrText>
          </w:r>
          <w:r>
            <w:rPr>
              <w:rStyle w:val="PageNumber"/>
              <w:rFonts w:ascii="Palatino Linotype" w:hAnsi="Palatino Linotype"/>
              <w:sz w:val="20"/>
            </w:rPr>
            <w:fldChar w:fldCharType="separate"/>
          </w:r>
          <w:r>
            <w:rPr>
              <w:rStyle w:val="PageNumber"/>
              <w:rFonts w:ascii="Palatino Linotype" w:hAnsi="Palatino Linotype"/>
              <w:noProof/>
              <w:sz w:val="20"/>
            </w:rPr>
            <w:t>79</w:t>
          </w:r>
          <w:r>
            <w:rPr>
              <w:rStyle w:val="PageNumber"/>
              <w:rFonts w:ascii="Palatino Linotype" w:hAnsi="Palatino Linotype"/>
              <w:sz w:val="20"/>
            </w:rPr>
            <w:fldChar w:fldCharType="end"/>
          </w:r>
        </w:p>
      </w:tc>
    </w:tr>
  </w:tbl>
  <w:p w:rsidR="00000000" w:rsidRDefault="00D35856">
    <w:pPr>
      <w:pStyle w:val="Footer"/>
      <w:keepNext w:val="0"/>
      <w:widowControl w:val="0"/>
      <w:spacing w:after="0"/>
      <w:rPr>
        <w:rFonts w:ascii="Palatino Linotype" w:hAnsi="Palatino Linotyp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D35856">
      <w:r>
        <w:separator/>
      </w:r>
    </w:p>
  </w:footnote>
  <w:footnote w:type="continuationSeparator" w:id="0">
    <w:p w:rsidR="00000000" w:rsidRDefault="00D35856">
      <w:r>
        <w:continuationSeparator/>
      </w:r>
    </w:p>
  </w:footnote>
  <w:footnote w:id="1">
    <w:p w:rsidR="00000000" w:rsidRDefault="00D35856">
      <w:pPr>
        <w:pStyle w:val="FootnoteText"/>
      </w:pPr>
      <w:r>
        <w:rPr>
          <w:rStyle w:val="FootnoteReference"/>
          <w:sz w:val="18"/>
          <w:szCs w:val="18"/>
        </w:rPr>
        <w:footnoteRef/>
      </w:r>
      <w:r>
        <w:rPr>
          <w:sz w:val="18"/>
          <w:szCs w:val="18"/>
        </w:rPr>
        <w:t xml:space="preserve"> In recent years it has become common practice to use the International Water Association (IWA) and Water Services Association of Australia (WSAA) term “ non revenue water” to describe leakage and losses associated with current annual real losses (CARL), u</w:t>
      </w:r>
      <w:r>
        <w:rPr>
          <w:sz w:val="18"/>
          <w:szCs w:val="18"/>
        </w:rPr>
        <w:t xml:space="preserve">navoidable annual real losses (UARL) and apparent losses. These are described in WSAA Facts (WSAA, Facts, 2004). </w:t>
      </w:r>
    </w:p>
  </w:footnote>
  <w:footnote w:id="2">
    <w:p w:rsidR="00000000" w:rsidRDefault="00D35856">
      <w:pPr>
        <w:keepNext w:val="0"/>
      </w:pPr>
      <w:r>
        <w:rPr>
          <w:rStyle w:val="FootnoteReference"/>
          <w:sz w:val="18"/>
          <w:szCs w:val="18"/>
        </w:rPr>
        <w:footnoteRef/>
      </w:r>
      <w:r>
        <w:rPr>
          <w:sz w:val="18"/>
          <w:szCs w:val="18"/>
        </w:rPr>
        <w:t xml:space="preserve"> </w:t>
      </w:r>
      <w:r>
        <w:rPr>
          <w:rStyle w:val="FootnoteReference"/>
          <w:sz w:val="18"/>
          <w:szCs w:val="18"/>
          <w:vertAlign w:val="baseline"/>
        </w:rPr>
        <w:t>As 2006 was the first and only year in which sales data represents sales of efficient washing machines and</w:t>
      </w:r>
      <w:r>
        <w:rPr>
          <w:rStyle w:val="FootnoteReference"/>
          <w:sz w:val="18"/>
          <w:szCs w:val="18"/>
          <w:vertAlign w:val="baseline"/>
        </w:rPr>
        <w:t xml:space="preserve"> dishwashers</w:t>
      </w:r>
      <w:r>
        <w:rPr>
          <w:sz w:val="18"/>
          <w:szCs w:val="18"/>
        </w:rPr>
        <w:t>, it</w:t>
      </w:r>
      <w:r>
        <w:rPr>
          <w:rStyle w:val="FootnoteReference"/>
          <w:sz w:val="18"/>
          <w:szCs w:val="18"/>
          <w:vertAlign w:val="baseline"/>
        </w:rPr>
        <w:t xml:space="preserve"> played a particularly important role in establishing future projections for the WELS mandatory labelling scenario.</w:t>
      </w:r>
      <w:r>
        <w:rPr>
          <w:sz w:val="18"/>
          <w:szCs w:val="18"/>
        </w:rPr>
        <w:t xml:space="preserve"> </w:t>
      </w:r>
    </w:p>
  </w:footnote>
  <w:footnote w:id="3">
    <w:p w:rsidR="00000000" w:rsidRDefault="00D35856">
      <w:pPr>
        <w:pStyle w:val="FootnoteText"/>
        <w:spacing w:after="60"/>
      </w:pPr>
      <w:r>
        <w:rPr>
          <w:rStyle w:val="FootnoteReference"/>
          <w:sz w:val="18"/>
          <w:szCs w:val="18"/>
        </w:rPr>
        <w:footnoteRef/>
      </w:r>
      <w:r>
        <w:rPr>
          <w:sz w:val="18"/>
          <w:szCs w:val="18"/>
        </w:rPr>
        <w:t xml:space="preserve"> The spreadsheet model used for the WELS RIS was made available by courtesy of the authors of the RIS, George Wilkenfeld and Associates (GWA).  GWA did not advise on the use of the model or otherwise participate in the present study, and IS</w:t>
      </w:r>
      <w:r>
        <w:rPr>
          <w:sz w:val="18"/>
          <w:szCs w:val="18"/>
        </w:rPr>
        <w:t>F takes responsibility for all interpretations and conclusions based on its own use of GWA's model.</w:t>
      </w:r>
    </w:p>
  </w:footnote>
  <w:footnote w:id="4">
    <w:p w:rsidR="00000000" w:rsidRDefault="00D35856">
      <w:pPr>
        <w:pStyle w:val="FootnoteText"/>
      </w:pPr>
      <w:r>
        <w:rPr>
          <w:rStyle w:val="FootnoteReference"/>
        </w:rPr>
        <w:footnoteRef/>
      </w:r>
      <w:r>
        <w:t xml:space="preserve"> Water Utility Stakeholder, May 2007.</w:t>
      </w:r>
    </w:p>
  </w:footnote>
  <w:footnote w:id="5">
    <w:p w:rsidR="00000000" w:rsidRDefault="00D35856">
      <w:pPr>
        <w:pStyle w:val="FootnoteText"/>
      </w:pPr>
      <w:r>
        <w:rPr>
          <w:rStyle w:val="FootnoteReference"/>
        </w:rPr>
        <w:footnoteRef/>
      </w:r>
      <w:r>
        <w:t xml:space="preserve"> Hobart Council Stakeholder, Dec 2007.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35856">
    <w:pPr>
      <w:pStyle w:val="Header"/>
      <w:ind w:right="360"/>
      <w:rPr>
        <w:rFonts w:ascii="Palatino Linotype" w:hAnsi="Palatino Linotype"/>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35856">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35856">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0BF"/>
    </w:tblPr>
    <w:tblGrid>
      <w:gridCol w:w="4375"/>
      <w:gridCol w:w="4339"/>
    </w:tblGrid>
    <w:tr w:rsidR="00000000">
      <w:trPr>
        <w:trHeight w:val="289"/>
      </w:trPr>
      <w:tc>
        <w:tcPr>
          <w:tcW w:w="4605" w:type="dxa"/>
          <w:tcBorders>
            <w:bottom w:val="single" w:sz="4" w:space="0" w:color="auto"/>
          </w:tcBorders>
          <w:vAlign w:val="center"/>
        </w:tcPr>
        <w:p w:rsidR="00000000" w:rsidRDefault="00D35856">
          <w:pPr>
            <w:keepNext w:val="0"/>
            <w:widowControl w:val="0"/>
            <w:spacing w:after="0"/>
            <w:rPr>
              <w:i/>
              <w:sz w:val="20"/>
            </w:rPr>
          </w:pPr>
          <w:r>
            <w:rPr>
              <w:i/>
              <w:sz w:val="20"/>
            </w:rPr>
            <w:t>Institute for Sustainable Futures, UTS</w:t>
          </w:r>
        </w:p>
      </w:tc>
      <w:tc>
        <w:tcPr>
          <w:tcW w:w="4605" w:type="dxa"/>
          <w:tcBorders>
            <w:bottom w:val="single" w:sz="4" w:space="0" w:color="auto"/>
          </w:tcBorders>
          <w:vAlign w:val="center"/>
        </w:tcPr>
        <w:p w:rsidR="00000000" w:rsidRDefault="00D35856">
          <w:pPr>
            <w:keepNext w:val="0"/>
            <w:widowControl w:val="0"/>
            <w:spacing w:after="0"/>
            <w:jc w:val="right"/>
            <w:rPr>
              <w:color w:val="333333"/>
              <w:sz w:val="20"/>
            </w:rPr>
          </w:pPr>
          <w:r>
            <w:rPr>
              <w:color w:val="333333"/>
              <w:sz w:val="20"/>
            </w:rPr>
            <w:t>May 2008</w:t>
          </w:r>
        </w:p>
      </w:tc>
    </w:tr>
  </w:tbl>
  <w:p w:rsidR="00000000" w:rsidRDefault="00D35856">
    <w:pPr>
      <w:pStyle w:val="Header"/>
      <w:keepNext w:val="0"/>
      <w:widowControl w:val="0"/>
      <w:spacing w:after="0"/>
      <w:rPr>
        <w:rFonts w:ascii="Palatino Linotype" w:hAnsi="Palatino Linotype"/>
        <w:i w:val="0"/>
        <w:sz w:val="10"/>
        <w:szCs w:val="1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358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35856">
    <w:pPr>
      <w:pStyle w:val="Header"/>
      <w:rPr>
        <w:rFonts w:ascii="Palatino Linotype" w:hAnsi="Palatino Linotype"/>
      </w:rPr>
    </w:pPr>
    <w:r>
      <w:rPr>
        <w:rFonts w:ascii="Palatino Linotype" w:hAnsi="Palatino Linotype"/>
        <w:i w:val="0"/>
        <w:noProof/>
        <w:lang w:eastAsia="en-AU"/>
      </w:rPr>
      <w:drawing>
        <wp:inline distT="0" distB="0" distL="0" distR="0">
          <wp:extent cx="3131820" cy="113538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3131820" cy="1135380"/>
                  </a:xfrm>
                  <a:prstGeom prst="rect">
                    <a:avLst/>
                  </a:prstGeom>
                  <a:noFill/>
                  <a:ln w="9525">
                    <a:noFill/>
                    <a:miter lim="800000"/>
                    <a:headEnd/>
                    <a:tailEnd/>
                  </a:ln>
                </pic:spPr>
              </pic:pic>
            </a:graphicData>
          </a:graphic>
        </wp:inline>
      </w:drawing>
    </w:r>
    <w:r>
      <w:rPr>
        <w:rFonts w:ascii="Palatino Linotype" w:hAnsi="Palatino Linotype"/>
        <w:i w:val="0"/>
        <w:noProof/>
        <w:lang w:eastAsia="en-AU"/>
      </w:rPr>
      <w:drawing>
        <wp:inline distT="0" distB="0" distL="0" distR="0">
          <wp:extent cx="3131820" cy="113538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3131820" cy="113538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0BF"/>
    </w:tblPr>
    <w:tblGrid>
      <w:gridCol w:w="4375"/>
      <w:gridCol w:w="4338"/>
    </w:tblGrid>
    <w:tr w:rsidR="00000000">
      <w:trPr>
        <w:trHeight w:val="316"/>
      </w:trPr>
      <w:tc>
        <w:tcPr>
          <w:tcW w:w="4608" w:type="dxa"/>
          <w:tcBorders>
            <w:bottom w:val="single" w:sz="4" w:space="0" w:color="auto"/>
          </w:tcBorders>
        </w:tcPr>
        <w:p w:rsidR="00000000" w:rsidRDefault="00D35856">
          <w:pPr>
            <w:spacing w:after="0"/>
            <w:rPr>
              <w:i/>
              <w:color w:val="333333"/>
              <w:sz w:val="20"/>
            </w:rPr>
          </w:pPr>
          <w:r>
            <w:rPr>
              <w:i/>
              <w:color w:val="333333"/>
              <w:sz w:val="20"/>
            </w:rPr>
            <w:t>Institute for Sustainable Futures, UTS</w:t>
          </w:r>
        </w:p>
      </w:tc>
      <w:tc>
        <w:tcPr>
          <w:tcW w:w="4608" w:type="dxa"/>
          <w:tcBorders>
            <w:bottom w:val="single" w:sz="4" w:space="0" w:color="auto"/>
          </w:tcBorders>
        </w:tcPr>
        <w:p w:rsidR="00000000" w:rsidRDefault="00D35856">
          <w:pPr>
            <w:spacing w:after="0"/>
            <w:jc w:val="right"/>
            <w:rPr>
              <w:color w:val="333333"/>
              <w:sz w:val="20"/>
            </w:rPr>
          </w:pPr>
          <w:r>
            <w:rPr>
              <w:color w:val="333333"/>
              <w:sz w:val="20"/>
            </w:rPr>
            <w:t>May 2008</w:t>
          </w:r>
        </w:p>
      </w:tc>
    </w:tr>
  </w:tbl>
  <w:p w:rsidR="00000000" w:rsidRDefault="00D35856">
    <w:pPr>
      <w:pStyle w:val="Header"/>
      <w:rPr>
        <w:rFonts w:ascii="Palatino Linotype" w:hAnsi="Palatino Linotype"/>
        <w:i w:val="0"/>
        <w:color w:val="333333"/>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3585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3585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613" w:type="dxa"/>
      <w:tblBorders>
        <w:bottom w:val="single" w:sz="4" w:space="0" w:color="auto"/>
      </w:tblBorders>
      <w:tblLook w:val="00BF"/>
    </w:tblPr>
    <w:tblGrid>
      <w:gridCol w:w="4622"/>
      <w:gridCol w:w="3991"/>
    </w:tblGrid>
    <w:tr w:rsidR="00000000">
      <w:trPr>
        <w:trHeight w:val="284"/>
      </w:trPr>
      <w:tc>
        <w:tcPr>
          <w:tcW w:w="4622" w:type="dxa"/>
          <w:tcBorders>
            <w:bottom w:val="single" w:sz="4" w:space="0" w:color="auto"/>
          </w:tcBorders>
        </w:tcPr>
        <w:p w:rsidR="00000000" w:rsidRDefault="00D35856">
          <w:pPr>
            <w:spacing w:after="0"/>
            <w:rPr>
              <w:i/>
              <w:color w:val="333333"/>
              <w:sz w:val="20"/>
            </w:rPr>
          </w:pPr>
          <w:r>
            <w:rPr>
              <w:i/>
              <w:color w:val="333333"/>
              <w:sz w:val="20"/>
            </w:rPr>
            <w:t>Institute for Sustainable Futures, UTS</w:t>
          </w:r>
        </w:p>
      </w:tc>
      <w:tc>
        <w:tcPr>
          <w:tcW w:w="3991" w:type="dxa"/>
          <w:tcBorders>
            <w:bottom w:val="single" w:sz="4" w:space="0" w:color="auto"/>
          </w:tcBorders>
        </w:tcPr>
        <w:p w:rsidR="00000000" w:rsidRDefault="00D35856">
          <w:pPr>
            <w:spacing w:after="0"/>
            <w:jc w:val="right"/>
            <w:rPr>
              <w:color w:val="333333"/>
              <w:sz w:val="20"/>
            </w:rPr>
          </w:pPr>
          <w:r>
            <w:rPr>
              <w:color w:val="333333"/>
              <w:sz w:val="20"/>
            </w:rPr>
            <w:t>May 2008</w:t>
          </w:r>
        </w:p>
      </w:tc>
    </w:tr>
  </w:tbl>
  <w:p w:rsidR="00000000" w:rsidRDefault="00D35856">
    <w:pPr>
      <w:pStyle w:val="Header"/>
      <w:rPr>
        <w:rFonts w:ascii="Palatino Linotype" w:hAnsi="Palatino Linotype"/>
        <w:i w:val="0"/>
        <w:color w:val="333333"/>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0BF"/>
    </w:tblPr>
    <w:tblGrid>
      <w:gridCol w:w="4373"/>
      <w:gridCol w:w="4340"/>
    </w:tblGrid>
    <w:tr w:rsidR="00000000">
      <w:trPr>
        <w:trHeight w:val="286"/>
      </w:trPr>
      <w:tc>
        <w:tcPr>
          <w:tcW w:w="4588" w:type="dxa"/>
          <w:tcBorders>
            <w:bottom w:val="single" w:sz="4" w:space="0" w:color="auto"/>
          </w:tcBorders>
        </w:tcPr>
        <w:p w:rsidR="00000000" w:rsidRDefault="00D35856">
          <w:pPr>
            <w:spacing w:after="0"/>
            <w:rPr>
              <w:i/>
              <w:color w:val="333333"/>
              <w:sz w:val="20"/>
            </w:rPr>
          </w:pPr>
          <w:r>
            <w:rPr>
              <w:i/>
              <w:color w:val="333333"/>
              <w:sz w:val="20"/>
            </w:rPr>
            <w:t>Institute for Sustainable Futures, UTS</w:t>
          </w:r>
        </w:p>
      </w:tc>
      <w:tc>
        <w:tcPr>
          <w:tcW w:w="4588" w:type="dxa"/>
          <w:tcBorders>
            <w:bottom w:val="single" w:sz="4" w:space="0" w:color="auto"/>
          </w:tcBorders>
        </w:tcPr>
        <w:p w:rsidR="00000000" w:rsidRDefault="00D35856">
          <w:pPr>
            <w:spacing w:after="0"/>
            <w:jc w:val="right"/>
            <w:rPr>
              <w:color w:val="333333"/>
              <w:sz w:val="20"/>
            </w:rPr>
          </w:pPr>
          <w:r>
            <w:rPr>
              <w:color w:val="333333"/>
              <w:sz w:val="20"/>
            </w:rPr>
            <w:t>May 2008</w:t>
          </w:r>
        </w:p>
      </w:tc>
    </w:tr>
  </w:tbl>
  <w:p w:rsidR="00000000" w:rsidRDefault="00D35856">
    <w:pPr>
      <w:pStyle w:val="Header"/>
      <w:rPr>
        <w:rFonts w:ascii="Palatino Linotype" w:hAnsi="Palatino Linotype"/>
        <w:i w:val="0"/>
        <w:color w:val="333333"/>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35856">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0BF"/>
    </w:tblPr>
    <w:tblGrid>
      <w:gridCol w:w="4374"/>
      <w:gridCol w:w="4339"/>
    </w:tblGrid>
    <w:tr w:rsidR="00000000">
      <w:trPr>
        <w:trHeight w:val="289"/>
      </w:trPr>
      <w:tc>
        <w:tcPr>
          <w:tcW w:w="4605" w:type="dxa"/>
          <w:tcBorders>
            <w:bottom w:val="single" w:sz="4" w:space="0" w:color="auto"/>
          </w:tcBorders>
        </w:tcPr>
        <w:p w:rsidR="00000000" w:rsidRDefault="00D35856">
          <w:pPr>
            <w:spacing w:after="0"/>
            <w:rPr>
              <w:i/>
              <w:sz w:val="20"/>
            </w:rPr>
          </w:pPr>
          <w:r>
            <w:rPr>
              <w:i/>
              <w:sz w:val="20"/>
            </w:rPr>
            <w:t>Institute for Sustainable Futures, UTS</w:t>
          </w:r>
        </w:p>
      </w:tc>
      <w:tc>
        <w:tcPr>
          <w:tcW w:w="4605" w:type="dxa"/>
          <w:tcBorders>
            <w:bottom w:val="single" w:sz="4" w:space="0" w:color="auto"/>
          </w:tcBorders>
        </w:tcPr>
        <w:p w:rsidR="00000000" w:rsidRDefault="00D35856">
          <w:pPr>
            <w:spacing w:after="0"/>
            <w:jc w:val="right"/>
            <w:rPr>
              <w:color w:val="333333"/>
              <w:sz w:val="20"/>
            </w:rPr>
          </w:pPr>
          <w:r>
            <w:rPr>
              <w:color w:val="333333"/>
              <w:sz w:val="20"/>
            </w:rPr>
            <w:t>May 2008</w:t>
          </w:r>
        </w:p>
      </w:tc>
    </w:tr>
  </w:tbl>
  <w:p w:rsidR="00000000" w:rsidRDefault="00D35856">
    <w:pPr>
      <w:pStyle w:val="Header"/>
      <w:spacing w:after="0"/>
      <w:rPr>
        <w:rFonts w:ascii="Palatino Linotype" w:hAnsi="Palatino Linotype"/>
        <w:i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03C15E2"/>
    <w:lvl w:ilvl="0">
      <w:start w:val="1"/>
      <w:numFmt w:val="decimal"/>
      <w:lvlText w:val="%1."/>
      <w:lvlJc w:val="left"/>
      <w:pPr>
        <w:tabs>
          <w:tab w:val="num" w:pos="643"/>
        </w:tabs>
        <w:ind w:left="643" w:hanging="360"/>
      </w:pPr>
      <w:rPr>
        <w:rFonts w:cs="Times New Roman"/>
      </w:rPr>
    </w:lvl>
  </w:abstractNum>
  <w:abstractNum w:abstractNumId="1">
    <w:nsid w:val="FFFFFF89"/>
    <w:multiLevelType w:val="singleLevel"/>
    <w:tmpl w:val="E130A524"/>
    <w:lvl w:ilvl="0">
      <w:start w:val="1"/>
      <w:numFmt w:val="bullet"/>
      <w:lvlText w:val=""/>
      <w:lvlJc w:val="left"/>
      <w:pPr>
        <w:tabs>
          <w:tab w:val="num" w:pos="360"/>
        </w:tabs>
        <w:ind w:left="360" w:hanging="360"/>
      </w:pPr>
      <w:rPr>
        <w:rFonts w:ascii="Symbol" w:hAnsi="Symbol" w:hint="default"/>
      </w:rPr>
    </w:lvl>
  </w:abstractNum>
  <w:abstractNum w:abstractNumId="2">
    <w:nsid w:val="04B77FBA"/>
    <w:multiLevelType w:val="hybridMultilevel"/>
    <w:tmpl w:val="9C5CEB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6C421B"/>
    <w:multiLevelType w:val="hybridMultilevel"/>
    <w:tmpl w:val="A016DF58"/>
    <w:lvl w:ilvl="0" w:tplc="AFFAA746">
      <w:start w:val="4"/>
      <w:numFmt w:val="bullet"/>
      <w:lvlText w:val="-"/>
      <w:lvlJc w:val="left"/>
      <w:pPr>
        <w:tabs>
          <w:tab w:val="num" w:pos="720"/>
        </w:tabs>
        <w:ind w:left="720" w:hanging="360"/>
      </w:pPr>
      <w:rPr>
        <w:rFonts w:ascii="Palatino Linotype" w:eastAsia="Times New Roman" w:hAnsi="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DA3044"/>
    <w:multiLevelType w:val="hybridMultilevel"/>
    <w:tmpl w:val="C4080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E219F1"/>
    <w:multiLevelType w:val="hybridMultilevel"/>
    <w:tmpl w:val="EF60BA3E"/>
    <w:lvl w:ilvl="0" w:tplc="36920188">
      <w:start w:val="1"/>
      <w:numFmt w:val="bullet"/>
      <w:lvlText w:val=""/>
      <w:lvlJc w:val="left"/>
      <w:pPr>
        <w:tabs>
          <w:tab w:val="num" w:pos="1495"/>
        </w:tabs>
        <w:ind w:left="1495" w:hanging="360"/>
      </w:pPr>
      <w:rPr>
        <w:rFonts w:ascii="Symbol" w:hAnsi="Symbol" w:hint="default"/>
        <w:sz w:val="16"/>
      </w:rPr>
    </w:lvl>
    <w:lvl w:ilvl="1" w:tplc="04090003" w:tentative="1">
      <w:start w:val="1"/>
      <w:numFmt w:val="bullet"/>
      <w:lvlText w:val="o"/>
      <w:lvlJc w:val="left"/>
      <w:pPr>
        <w:tabs>
          <w:tab w:val="num" w:pos="1495"/>
        </w:tabs>
        <w:ind w:left="1495" w:hanging="360"/>
      </w:pPr>
      <w:rPr>
        <w:rFonts w:ascii="Courier New" w:hAnsi="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tentative="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abstractNum w:abstractNumId="6">
    <w:nsid w:val="148B4B0C"/>
    <w:multiLevelType w:val="multilevel"/>
    <w:tmpl w:val="FEBE4CA2"/>
    <w:lvl w:ilvl="0">
      <w:start w:val="1"/>
      <w:numFmt w:val="bullet"/>
      <w:lvlText w:val="―"/>
      <w:lvlJc w:val="left"/>
      <w:pPr>
        <w:tabs>
          <w:tab w:val="num" w:pos="1440"/>
        </w:tabs>
        <w:ind w:left="1440" w:hanging="360"/>
      </w:pPr>
      <w:rPr>
        <w:rFonts w:ascii="Book Antiqua" w:hAnsi="Book Antiqu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59C3CD0"/>
    <w:multiLevelType w:val="hybridMultilevel"/>
    <w:tmpl w:val="544C7154"/>
    <w:lvl w:ilvl="0" w:tplc="36920188">
      <w:start w:val="1"/>
      <w:numFmt w:val="bullet"/>
      <w:lvlText w:val=""/>
      <w:lvlJc w:val="left"/>
      <w:pPr>
        <w:tabs>
          <w:tab w:val="num" w:pos="1440"/>
        </w:tabs>
        <w:ind w:left="1440" w:hanging="360"/>
      </w:pPr>
      <w:rPr>
        <w:rFonts w:ascii="Symbol" w:hAnsi="Symbol" w:hint="default"/>
        <w:sz w:val="16"/>
      </w:rPr>
    </w:lvl>
    <w:lvl w:ilvl="1" w:tplc="63E81718">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497BA1"/>
    <w:multiLevelType w:val="hybridMultilevel"/>
    <w:tmpl w:val="318E7FC0"/>
    <w:lvl w:ilvl="0" w:tplc="BFB415F4">
      <w:start w:val="1"/>
      <w:numFmt w:val="bullet"/>
      <w:lvlRestart w:val="0"/>
      <w:lvlText w:val=""/>
      <w:lvlJc w:val="left"/>
      <w:pPr>
        <w:tabs>
          <w:tab w:val="num" w:pos="723"/>
        </w:tabs>
        <w:ind w:left="723"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7B4EAA"/>
    <w:multiLevelType w:val="hybridMultilevel"/>
    <w:tmpl w:val="432E9EF4"/>
    <w:lvl w:ilvl="0" w:tplc="63E81718">
      <w:start w:val="1"/>
      <w:numFmt w:val="bullet"/>
      <w:lvlText w:val=""/>
      <w:lvlJc w:val="left"/>
      <w:pPr>
        <w:tabs>
          <w:tab w:val="num" w:pos="1496"/>
        </w:tabs>
        <w:ind w:left="1496"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322ACC"/>
    <w:multiLevelType w:val="hybridMultilevel"/>
    <w:tmpl w:val="289C3652"/>
    <w:lvl w:ilvl="0" w:tplc="AFFAA746">
      <w:start w:val="4"/>
      <w:numFmt w:val="bullet"/>
      <w:lvlText w:val="-"/>
      <w:lvlJc w:val="left"/>
      <w:pPr>
        <w:tabs>
          <w:tab w:val="num" w:pos="720"/>
        </w:tabs>
        <w:ind w:left="720" w:hanging="360"/>
      </w:pPr>
      <w:rPr>
        <w:rFonts w:ascii="Palatino Linotype" w:eastAsia="Times New Roman" w:hAnsi="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35557A"/>
    <w:multiLevelType w:val="hybridMultilevel"/>
    <w:tmpl w:val="FEBE4CA2"/>
    <w:lvl w:ilvl="0" w:tplc="6FF0A856">
      <w:start w:val="1"/>
      <w:numFmt w:val="bullet"/>
      <w:lvlText w:val="―"/>
      <w:lvlJc w:val="left"/>
      <w:pPr>
        <w:tabs>
          <w:tab w:val="num" w:pos="1440"/>
        </w:tabs>
        <w:ind w:left="1440" w:hanging="360"/>
      </w:pPr>
      <w:rPr>
        <w:rFonts w:ascii="Book Antiqua" w:hAnsi="Book Antiqu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EF39BD"/>
    <w:multiLevelType w:val="hybridMultilevel"/>
    <w:tmpl w:val="86F867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3E563C4E"/>
    <w:multiLevelType w:val="hybridMultilevel"/>
    <w:tmpl w:val="320657C8"/>
    <w:lvl w:ilvl="0" w:tplc="04F80814">
      <w:start w:val="1"/>
      <w:numFmt w:val="bullet"/>
      <w:pStyle w:val="Bulletpointb"/>
      <w:lvlText w:val="―"/>
      <w:lvlJc w:val="left"/>
      <w:pPr>
        <w:tabs>
          <w:tab w:val="num" w:pos="1440"/>
        </w:tabs>
        <w:ind w:left="1440" w:hanging="360"/>
      </w:pPr>
      <w:rPr>
        <w:rFonts w:ascii="Book Antiqua" w:hAnsi="Book Antiqua" w:hint="default"/>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4E1E0ED7"/>
    <w:multiLevelType w:val="hybridMultilevel"/>
    <w:tmpl w:val="93E64BE8"/>
    <w:lvl w:ilvl="0" w:tplc="AFFAA746">
      <w:start w:val="4"/>
      <w:numFmt w:val="bullet"/>
      <w:lvlText w:val="-"/>
      <w:lvlJc w:val="left"/>
      <w:pPr>
        <w:tabs>
          <w:tab w:val="num" w:pos="720"/>
        </w:tabs>
        <w:ind w:left="720" w:hanging="360"/>
      </w:pPr>
      <w:rPr>
        <w:rFonts w:ascii="Palatino Linotype" w:eastAsia="Times New Roman" w:hAnsi="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7323C2"/>
    <w:multiLevelType w:val="multilevel"/>
    <w:tmpl w:val="7C9AB6DC"/>
    <w:lvl w:ilvl="0">
      <w:start w:val="1"/>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296"/>
        </w:tabs>
        <w:ind w:left="1296" w:hanging="576"/>
      </w:pPr>
      <w:rPr>
        <w:rFonts w:cs="Times New Roman" w:hint="default"/>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584"/>
        </w:tabs>
        <w:ind w:left="1584" w:hanging="864"/>
      </w:pPr>
      <w:rPr>
        <w:rFonts w:cs="Times New Roman" w:hint="default"/>
      </w:rPr>
    </w:lvl>
    <w:lvl w:ilvl="4">
      <w:start w:val="1"/>
      <w:numFmt w:val="decimal"/>
      <w:lvlText w:val="%1.%2.%3.%4.%5"/>
      <w:lvlJc w:val="left"/>
      <w:pPr>
        <w:tabs>
          <w:tab w:val="num" w:pos="1728"/>
        </w:tabs>
        <w:ind w:left="1728" w:hanging="1008"/>
      </w:pPr>
      <w:rPr>
        <w:rFonts w:cs="Times New Roman" w:hint="default"/>
      </w:rPr>
    </w:lvl>
    <w:lvl w:ilvl="5">
      <w:start w:val="1"/>
      <w:numFmt w:val="decimal"/>
      <w:lvlText w:val="%1.%2.%3.%4.%5.%6"/>
      <w:lvlJc w:val="left"/>
      <w:pPr>
        <w:tabs>
          <w:tab w:val="num" w:pos="1872"/>
        </w:tabs>
        <w:ind w:left="1872" w:hanging="1152"/>
      </w:pPr>
      <w:rPr>
        <w:rFonts w:cs="Times New Roman" w:hint="default"/>
      </w:rPr>
    </w:lvl>
    <w:lvl w:ilvl="6">
      <w:start w:val="1"/>
      <w:numFmt w:val="decimal"/>
      <w:lvlText w:val="%1.%2.%3.%4.%5.%6.%7"/>
      <w:lvlJc w:val="left"/>
      <w:pPr>
        <w:tabs>
          <w:tab w:val="num" w:pos="2016"/>
        </w:tabs>
        <w:ind w:left="2016" w:hanging="1296"/>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304"/>
        </w:tabs>
        <w:ind w:left="2304" w:hanging="1584"/>
      </w:pPr>
      <w:rPr>
        <w:rFonts w:cs="Times New Roman" w:hint="default"/>
      </w:rPr>
    </w:lvl>
  </w:abstractNum>
  <w:abstractNum w:abstractNumId="16">
    <w:nsid w:val="55AB36C8"/>
    <w:multiLevelType w:val="hybridMultilevel"/>
    <w:tmpl w:val="B104908C"/>
    <w:lvl w:ilvl="0" w:tplc="36920188">
      <w:start w:val="1"/>
      <w:numFmt w:val="bullet"/>
      <w:lvlText w:val=""/>
      <w:lvlJc w:val="left"/>
      <w:pPr>
        <w:tabs>
          <w:tab w:val="num" w:pos="1440"/>
        </w:tabs>
        <w:ind w:left="14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1E1517"/>
    <w:multiLevelType w:val="hybridMultilevel"/>
    <w:tmpl w:val="4C92E09A"/>
    <w:lvl w:ilvl="0" w:tplc="82B401F6">
      <w:numFmt w:val="bullet"/>
      <w:lvlText w:val=""/>
      <w:lvlJc w:val="left"/>
      <w:pPr>
        <w:tabs>
          <w:tab w:val="num" w:pos="720"/>
        </w:tabs>
        <w:ind w:left="720" w:hanging="360"/>
      </w:pPr>
      <w:rPr>
        <w:rFonts w:ascii="Symbol" w:hAnsi="Symbol" w:hint="default"/>
        <w:sz w:val="16"/>
      </w:rPr>
    </w:lvl>
    <w:lvl w:ilvl="1" w:tplc="BFB415F4">
      <w:start w:val="1"/>
      <w:numFmt w:val="bullet"/>
      <w:lvlRestart w:val="0"/>
      <w:lvlText w:val=""/>
      <w:lvlJc w:val="left"/>
      <w:pPr>
        <w:tabs>
          <w:tab w:val="num" w:pos="1443"/>
        </w:tabs>
        <w:ind w:left="1443" w:hanging="363"/>
      </w:pPr>
      <w:rPr>
        <w:rFonts w:ascii="Symbol" w:hAnsi="Symbol" w:hint="default"/>
        <w:sz w:val="16"/>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595313FC"/>
    <w:multiLevelType w:val="hybridMultilevel"/>
    <w:tmpl w:val="9E0A69FC"/>
    <w:lvl w:ilvl="0" w:tplc="36920188">
      <w:start w:val="1"/>
      <w:numFmt w:val="bullet"/>
      <w:lvlText w:val=""/>
      <w:lvlJc w:val="left"/>
      <w:pPr>
        <w:tabs>
          <w:tab w:val="num" w:pos="1440"/>
        </w:tabs>
        <w:ind w:left="14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07239C6"/>
    <w:multiLevelType w:val="hybridMultilevel"/>
    <w:tmpl w:val="66A06282"/>
    <w:lvl w:ilvl="0" w:tplc="36920188">
      <w:start w:val="1"/>
      <w:numFmt w:val="bullet"/>
      <w:lvlText w:val=""/>
      <w:lvlJc w:val="left"/>
      <w:pPr>
        <w:tabs>
          <w:tab w:val="num" w:pos="1440"/>
        </w:tabs>
        <w:ind w:left="14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6CA180D"/>
    <w:multiLevelType w:val="hybridMultilevel"/>
    <w:tmpl w:val="B80AD920"/>
    <w:lvl w:ilvl="0" w:tplc="82B401F6">
      <w:numFmt w:val="bullet"/>
      <w:lvlText w:val=""/>
      <w:lvlJc w:val="left"/>
      <w:pPr>
        <w:tabs>
          <w:tab w:val="num" w:pos="720"/>
        </w:tabs>
        <w:ind w:left="720" w:hanging="360"/>
      </w:pPr>
      <w:rPr>
        <w:rFonts w:ascii="Symbol" w:hAnsi="Symbol"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75092D57"/>
    <w:multiLevelType w:val="hybridMultilevel"/>
    <w:tmpl w:val="2C1C8BE6"/>
    <w:lvl w:ilvl="0" w:tplc="82B401F6">
      <w:numFmt w:val="bullet"/>
      <w:lvlText w:val=""/>
      <w:lvlJc w:val="left"/>
      <w:pPr>
        <w:tabs>
          <w:tab w:val="num" w:pos="773"/>
        </w:tabs>
        <w:ind w:left="773" w:hanging="360"/>
      </w:pPr>
      <w:rPr>
        <w:rFonts w:ascii="Symbol" w:hAnsi="Symbol" w:hint="default"/>
        <w:sz w:val="16"/>
      </w:rPr>
    </w:lvl>
    <w:lvl w:ilvl="1" w:tplc="00030409" w:tentative="1">
      <w:start w:val="1"/>
      <w:numFmt w:val="bullet"/>
      <w:lvlText w:val="o"/>
      <w:lvlJc w:val="left"/>
      <w:pPr>
        <w:tabs>
          <w:tab w:val="num" w:pos="1493"/>
        </w:tabs>
        <w:ind w:left="1493" w:hanging="360"/>
      </w:pPr>
      <w:rPr>
        <w:rFonts w:ascii="Courier New" w:hAnsi="Courier New" w:hint="default"/>
      </w:rPr>
    </w:lvl>
    <w:lvl w:ilvl="2" w:tplc="00050409" w:tentative="1">
      <w:start w:val="1"/>
      <w:numFmt w:val="bullet"/>
      <w:lvlText w:val=""/>
      <w:lvlJc w:val="left"/>
      <w:pPr>
        <w:tabs>
          <w:tab w:val="num" w:pos="2213"/>
        </w:tabs>
        <w:ind w:left="2213" w:hanging="360"/>
      </w:pPr>
      <w:rPr>
        <w:rFonts w:ascii="Wingdings" w:hAnsi="Wingdings" w:hint="default"/>
      </w:rPr>
    </w:lvl>
    <w:lvl w:ilvl="3" w:tplc="00010409" w:tentative="1">
      <w:start w:val="1"/>
      <w:numFmt w:val="bullet"/>
      <w:lvlText w:val=""/>
      <w:lvlJc w:val="left"/>
      <w:pPr>
        <w:tabs>
          <w:tab w:val="num" w:pos="2933"/>
        </w:tabs>
        <w:ind w:left="2933" w:hanging="360"/>
      </w:pPr>
      <w:rPr>
        <w:rFonts w:ascii="Symbol" w:hAnsi="Symbol" w:hint="default"/>
      </w:rPr>
    </w:lvl>
    <w:lvl w:ilvl="4" w:tplc="00030409" w:tentative="1">
      <w:start w:val="1"/>
      <w:numFmt w:val="bullet"/>
      <w:lvlText w:val="o"/>
      <w:lvlJc w:val="left"/>
      <w:pPr>
        <w:tabs>
          <w:tab w:val="num" w:pos="3653"/>
        </w:tabs>
        <w:ind w:left="3653" w:hanging="360"/>
      </w:pPr>
      <w:rPr>
        <w:rFonts w:ascii="Courier New" w:hAnsi="Courier New" w:hint="default"/>
      </w:rPr>
    </w:lvl>
    <w:lvl w:ilvl="5" w:tplc="00050409" w:tentative="1">
      <w:start w:val="1"/>
      <w:numFmt w:val="bullet"/>
      <w:lvlText w:val=""/>
      <w:lvlJc w:val="left"/>
      <w:pPr>
        <w:tabs>
          <w:tab w:val="num" w:pos="4373"/>
        </w:tabs>
        <w:ind w:left="4373" w:hanging="360"/>
      </w:pPr>
      <w:rPr>
        <w:rFonts w:ascii="Wingdings" w:hAnsi="Wingdings" w:hint="default"/>
      </w:rPr>
    </w:lvl>
    <w:lvl w:ilvl="6" w:tplc="00010409" w:tentative="1">
      <w:start w:val="1"/>
      <w:numFmt w:val="bullet"/>
      <w:lvlText w:val=""/>
      <w:lvlJc w:val="left"/>
      <w:pPr>
        <w:tabs>
          <w:tab w:val="num" w:pos="5093"/>
        </w:tabs>
        <w:ind w:left="5093" w:hanging="360"/>
      </w:pPr>
      <w:rPr>
        <w:rFonts w:ascii="Symbol" w:hAnsi="Symbol" w:hint="default"/>
      </w:rPr>
    </w:lvl>
    <w:lvl w:ilvl="7" w:tplc="00030409" w:tentative="1">
      <w:start w:val="1"/>
      <w:numFmt w:val="bullet"/>
      <w:lvlText w:val="o"/>
      <w:lvlJc w:val="left"/>
      <w:pPr>
        <w:tabs>
          <w:tab w:val="num" w:pos="5813"/>
        </w:tabs>
        <w:ind w:left="5813" w:hanging="360"/>
      </w:pPr>
      <w:rPr>
        <w:rFonts w:ascii="Courier New" w:hAnsi="Courier New" w:hint="default"/>
      </w:rPr>
    </w:lvl>
    <w:lvl w:ilvl="8" w:tplc="00050409" w:tentative="1">
      <w:start w:val="1"/>
      <w:numFmt w:val="bullet"/>
      <w:lvlText w:val=""/>
      <w:lvlJc w:val="left"/>
      <w:pPr>
        <w:tabs>
          <w:tab w:val="num" w:pos="6533"/>
        </w:tabs>
        <w:ind w:left="6533" w:hanging="360"/>
      </w:pPr>
      <w:rPr>
        <w:rFonts w:ascii="Wingdings" w:hAnsi="Wingdings" w:hint="default"/>
      </w:rPr>
    </w:lvl>
  </w:abstractNum>
  <w:abstractNum w:abstractNumId="22">
    <w:nsid w:val="7A903FBB"/>
    <w:multiLevelType w:val="hybridMultilevel"/>
    <w:tmpl w:val="B4F831A2"/>
    <w:lvl w:ilvl="0" w:tplc="64E88DCE">
      <w:numFmt w:val="bullet"/>
      <w:pStyle w:val="Bulletpointa"/>
      <w:lvlText w:val=""/>
      <w:lvlJc w:val="left"/>
      <w:pPr>
        <w:tabs>
          <w:tab w:val="num" w:pos="360"/>
        </w:tabs>
        <w:ind w:left="360" w:hanging="360"/>
      </w:pPr>
      <w:rPr>
        <w:rFonts w:ascii="Symbol" w:hAnsi="Symbol" w:hint="default"/>
        <w:sz w:val="16"/>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
  </w:num>
  <w:num w:numId="3">
    <w:abstractNumId w:val="15"/>
  </w:num>
  <w:num w:numId="4">
    <w:abstractNumId w:val="20"/>
  </w:num>
  <w:num w:numId="5">
    <w:abstractNumId w:val="17"/>
  </w:num>
  <w:num w:numId="6">
    <w:abstractNumId w:val="22"/>
  </w:num>
  <w:num w:numId="7">
    <w:abstractNumId w:val="8"/>
  </w:num>
  <w:num w:numId="8">
    <w:abstractNumId w:val="21"/>
  </w:num>
  <w:num w:numId="9">
    <w:abstractNumId w:val="12"/>
  </w:num>
  <w:num w:numId="10">
    <w:abstractNumId w:val="4"/>
  </w:num>
  <w:num w:numId="11">
    <w:abstractNumId w:val="13"/>
  </w:num>
  <w:num w:numId="12">
    <w:abstractNumId w:val="0"/>
  </w:num>
  <w:num w:numId="13">
    <w:abstractNumId w:val="11"/>
  </w:num>
  <w:num w:numId="14">
    <w:abstractNumId w:val="6"/>
  </w:num>
  <w:num w:numId="15">
    <w:abstractNumId w:val="16"/>
  </w:num>
  <w:num w:numId="16">
    <w:abstractNumId w:val="5"/>
  </w:num>
  <w:num w:numId="17">
    <w:abstractNumId w:val="15"/>
  </w:num>
  <w:num w:numId="18">
    <w:abstractNumId w:val="19"/>
  </w:num>
  <w:num w:numId="19">
    <w:abstractNumId w:val="2"/>
  </w:num>
  <w:num w:numId="20">
    <w:abstractNumId w:val="14"/>
  </w:num>
  <w:num w:numId="21">
    <w:abstractNumId w:val="3"/>
  </w:num>
  <w:num w:numId="22">
    <w:abstractNumId w:val="10"/>
  </w:num>
  <w:num w:numId="23">
    <w:abstractNumId w:val="7"/>
  </w:num>
  <w:num w:numId="24">
    <w:abstractNumId w:val="18"/>
  </w:num>
  <w:num w:numId="25">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stylePaneFormatFilter w:val="1F08"/>
  <w:defaultTabStop w:val="720"/>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rsids>
    <w:rsidRoot w:val="00D87CE9"/>
    <w:rsid w:val="0096585B"/>
    <w:rsid w:val="00AA194F"/>
    <w:rsid w:val="00D35856"/>
    <w:rsid w:val="00D87CE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Next/>
      <w:spacing w:after="180" w:line="240" w:lineRule="auto"/>
      <w:jc w:val="both"/>
    </w:pPr>
    <w:rPr>
      <w:rFonts w:ascii="Palatino Linotype" w:hAnsi="Palatino Linotype"/>
      <w:szCs w:val="24"/>
      <w:lang w:eastAsia="en-US"/>
    </w:rPr>
  </w:style>
  <w:style w:type="paragraph" w:styleId="Heading1">
    <w:name w:val="heading 1"/>
    <w:basedOn w:val="Normal"/>
    <w:next w:val="Normal"/>
    <w:link w:val="Heading1Char"/>
    <w:uiPriority w:val="99"/>
    <w:qFormat/>
    <w:pPr>
      <w:keepNext w:val="0"/>
      <w:pageBreakBefore/>
      <w:numPr>
        <w:numId w:val="2"/>
      </w:numPr>
      <w:shd w:val="clear" w:color="auto" w:fill="000000"/>
      <w:tabs>
        <w:tab w:val="clear" w:pos="360"/>
        <w:tab w:val="left" w:pos="567"/>
      </w:tabs>
      <w:spacing w:after="280"/>
      <w:ind w:left="567" w:hanging="567"/>
      <w:jc w:val="left"/>
      <w:outlineLvl w:val="0"/>
    </w:pPr>
    <w:rPr>
      <w:rFonts w:ascii="Arial" w:hAnsi="Arial" w:cs="Arial"/>
      <w:b/>
      <w:color w:val="FFFFFF"/>
      <w:spacing w:val="-10"/>
      <w:kern w:val="32"/>
      <w:sz w:val="32"/>
      <w:szCs w:val="32"/>
    </w:rPr>
  </w:style>
  <w:style w:type="paragraph" w:styleId="Heading2">
    <w:name w:val="heading 2"/>
    <w:basedOn w:val="Heading1"/>
    <w:next w:val="Normal"/>
    <w:link w:val="Heading2Char"/>
    <w:uiPriority w:val="99"/>
    <w:qFormat/>
    <w:pPr>
      <w:pageBreakBefore w:val="0"/>
      <w:numPr>
        <w:ilvl w:val="1"/>
      </w:numPr>
      <w:shd w:val="clear" w:color="auto" w:fill="auto"/>
      <w:tabs>
        <w:tab w:val="clear" w:pos="360"/>
      </w:tabs>
      <w:spacing w:before="240" w:after="120"/>
      <w:ind w:left="567" w:hanging="567"/>
      <w:outlineLvl w:val="1"/>
    </w:pPr>
    <w:rPr>
      <w:smallCaps/>
      <w:color w:val="000000"/>
      <w:sz w:val="28"/>
      <w:szCs w:val="28"/>
    </w:rPr>
  </w:style>
  <w:style w:type="paragraph" w:styleId="Heading3">
    <w:name w:val="heading 3"/>
    <w:basedOn w:val="Heading2"/>
    <w:next w:val="Normal"/>
    <w:link w:val="Heading3Char"/>
    <w:uiPriority w:val="99"/>
    <w:qFormat/>
    <w:pPr>
      <w:keepNext/>
      <w:widowControl w:val="0"/>
      <w:numPr>
        <w:ilvl w:val="2"/>
      </w:numPr>
      <w:tabs>
        <w:tab w:val="clear" w:pos="360"/>
        <w:tab w:val="clear" w:pos="567"/>
        <w:tab w:val="left" w:pos="851"/>
      </w:tabs>
      <w:spacing w:after="60"/>
      <w:ind w:left="851" w:hanging="851"/>
      <w:outlineLvl w:val="2"/>
    </w:pPr>
    <w:rPr>
      <w:b w:val="0"/>
      <w:smallCaps w:val="0"/>
      <w:sz w:val="26"/>
      <w:szCs w:val="26"/>
    </w:rPr>
  </w:style>
  <w:style w:type="paragraph" w:styleId="Heading4">
    <w:name w:val="heading 4"/>
    <w:basedOn w:val="Heading3"/>
    <w:next w:val="Normal"/>
    <w:link w:val="Heading4Char"/>
    <w:uiPriority w:val="99"/>
    <w:qFormat/>
    <w:pPr>
      <w:numPr>
        <w:ilvl w:val="0"/>
        <w:numId w:val="0"/>
      </w:numPr>
      <w:spacing w:before="120" w:after="120"/>
      <w:outlineLvl w:val="3"/>
    </w:pPr>
    <w:rPr>
      <w:rFonts w:ascii="DIN-Regular" w:hAnsi="DIN-Regular"/>
      <w:b/>
      <w:sz w:val="22"/>
      <w:szCs w:val="28"/>
    </w:rPr>
  </w:style>
  <w:style w:type="paragraph" w:styleId="Heading5">
    <w:name w:val="heading 5"/>
    <w:basedOn w:val="Normal"/>
    <w:next w:val="Normal"/>
    <w:link w:val="Heading5Char"/>
    <w:uiPriority w:val="99"/>
    <w:qFormat/>
    <w:pPr>
      <w:numPr>
        <w:ilvl w:val="4"/>
        <w:numId w:val="2"/>
      </w:numPr>
      <w:tabs>
        <w:tab w:val="clear" w:pos="360"/>
        <w:tab w:val="num" w:pos="1728"/>
      </w:tabs>
      <w:spacing w:before="240" w:after="60"/>
      <w:ind w:left="1728" w:hanging="1008"/>
      <w:outlineLvl w:val="4"/>
    </w:pPr>
    <w:rPr>
      <w:b/>
      <w:i/>
      <w:sz w:val="26"/>
      <w:szCs w:val="26"/>
    </w:rPr>
  </w:style>
  <w:style w:type="paragraph" w:styleId="Heading6">
    <w:name w:val="heading 6"/>
    <w:basedOn w:val="Heading4"/>
    <w:next w:val="Normal"/>
    <w:link w:val="Heading6Char"/>
    <w:uiPriority w:val="99"/>
    <w:qFormat/>
    <w:pPr>
      <w:numPr>
        <w:ilvl w:val="5"/>
        <w:numId w:val="2"/>
      </w:numPr>
      <w:tabs>
        <w:tab w:val="clear" w:pos="360"/>
        <w:tab w:val="num" w:pos="1872"/>
      </w:tabs>
      <w:spacing w:before="240" w:after="60"/>
      <w:ind w:left="1872" w:hanging="1152"/>
      <w:outlineLvl w:val="5"/>
    </w:pPr>
    <w:rPr>
      <w:rFonts w:ascii="DIN-Light" w:hAnsi="DIN-Light"/>
      <w:b w:val="0"/>
      <w:szCs w:val="22"/>
    </w:rPr>
  </w:style>
  <w:style w:type="paragraph" w:styleId="Heading7">
    <w:name w:val="heading 7"/>
    <w:basedOn w:val="Heading6"/>
    <w:next w:val="Normal"/>
    <w:link w:val="Heading7Char"/>
    <w:uiPriority w:val="99"/>
    <w:qFormat/>
    <w:pPr>
      <w:numPr>
        <w:ilvl w:val="6"/>
      </w:numPr>
      <w:tabs>
        <w:tab w:val="clear" w:pos="360"/>
        <w:tab w:val="num" w:pos="2016"/>
      </w:tabs>
      <w:ind w:left="2016" w:hanging="1296"/>
      <w:outlineLvl w:val="6"/>
    </w:pPr>
    <w:rPr>
      <w:sz w:val="24"/>
    </w:rPr>
  </w:style>
  <w:style w:type="paragraph" w:styleId="Heading8">
    <w:name w:val="heading 8"/>
    <w:basedOn w:val="Heading7"/>
    <w:next w:val="Normal"/>
    <w:link w:val="Heading8Char"/>
    <w:uiPriority w:val="99"/>
    <w:qFormat/>
    <w:pPr>
      <w:numPr>
        <w:ilvl w:val="7"/>
      </w:numPr>
      <w:tabs>
        <w:tab w:val="clear" w:pos="360"/>
        <w:tab w:val="num" w:pos="2160"/>
      </w:tabs>
      <w:ind w:left="2160" w:hanging="1440"/>
      <w:outlineLvl w:val="7"/>
    </w:pPr>
    <w:rPr>
      <w:rFonts w:ascii="DIN" w:hAnsi="DIN"/>
      <w:i/>
    </w:rPr>
  </w:style>
  <w:style w:type="paragraph" w:styleId="Heading9">
    <w:name w:val="heading 9"/>
    <w:basedOn w:val="Heading8"/>
    <w:next w:val="Normal"/>
    <w:link w:val="Heading9Char"/>
    <w:uiPriority w:val="99"/>
    <w:qFormat/>
    <w:pPr>
      <w:numPr>
        <w:ilvl w:val="8"/>
      </w:numPr>
      <w:tabs>
        <w:tab w:val="clear" w:pos="360"/>
        <w:tab w:val="num" w:pos="2304"/>
      </w:tabs>
      <w:ind w:left="2304" w:hanging="1584"/>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Arial"/>
      <w:b/>
      <w:color w:val="FFFFFF"/>
      <w:spacing w:val="-10"/>
      <w:kern w:val="32"/>
      <w:sz w:val="32"/>
      <w:szCs w:val="32"/>
      <w:lang w:val="en-AU" w:eastAsia="en-US" w:bidi="ar-SA"/>
    </w:rPr>
  </w:style>
  <w:style w:type="character" w:customStyle="1" w:styleId="Heading2Char">
    <w:name w:val="Heading 2 Char"/>
    <w:basedOn w:val="Heading1Char"/>
    <w:link w:val="Heading2"/>
    <w:uiPriority w:val="99"/>
    <w:locked/>
    <w:rPr>
      <w:smallCap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eastAsia="en-US"/>
    </w:rPr>
  </w:style>
  <w:style w:type="paragraph" w:styleId="BodyTextIndent">
    <w:name w:val="Body Text Indent"/>
    <w:basedOn w:val="BodyText"/>
    <w:link w:val="BodyTextIndentChar"/>
    <w:uiPriority w:val="99"/>
    <w:pPr>
      <w:ind w:left="397" w:right="397"/>
    </w:pPr>
    <w:rPr>
      <w:sz w:val="20"/>
      <w:lang w:val="en-GB"/>
    </w:rPr>
  </w:style>
  <w:style w:type="character" w:customStyle="1" w:styleId="BodyTextIndentChar">
    <w:name w:val="Body Text Indent Char"/>
    <w:basedOn w:val="DefaultParagraphFont"/>
    <w:link w:val="BodyTextIndent"/>
    <w:uiPriority w:val="99"/>
    <w:semiHidden/>
    <w:rPr>
      <w:rFonts w:ascii="Palatino Linotype" w:hAnsi="Palatino Linotype"/>
      <w:szCs w:val="24"/>
      <w:lang w:eastAsia="en-US"/>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rPr>
      <w:rFonts w:ascii="Palatino Linotype" w:hAnsi="Palatino Linotype"/>
      <w:szCs w:val="24"/>
      <w:lang w:eastAsia="en-US"/>
    </w:rPr>
  </w:style>
  <w:style w:type="paragraph" w:styleId="BodyTextIndent2">
    <w:name w:val="Body Text Indent 2"/>
    <w:basedOn w:val="BodyTextIndent"/>
    <w:link w:val="BodyTextIndent2Char"/>
    <w:uiPriority w:val="99"/>
    <w:pPr>
      <w:spacing w:after="60" w:line="480" w:lineRule="auto"/>
    </w:pPr>
    <w:rPr>
      <w:i/>
    </w:rPr>
  </w:style>
  <w:style w:type="character" w:customStyle="1" w:styleId="BodyTextIndent2Char">
    <w:name w:val="Body Text Indent 2 Char"/>
    <w:basedOn w:val="DefaultParagraphFont"/>
    <w:link w:val="BodyTextIndent2"/>
    <w:uiPriority w:val="99"/>
    <w:semiHidden/>
    <w:rPr>
      <w:rFonts w:ascii="Palatino Linotype" w:hAnsi="Palatino Linotype"/>
      <w:szCs w:val="24"/>
      <w:lang w:eastAsia="en-US"/>
    </w:rPr>
  </w:style>
  <w:style w:type="paragraph" w:styleId="Footer">
    <w:name w:val="footer"/>
    <w:basedOn w:val="Normal"/>
    <w:link w:val="FooterChar"/>
    <w:uiPriority w:val="99"/>
    <w:pPr>
      <w:tabs>
        <w:tab w:val="center" w:pos="4153"/>
        <w:tab w:val="right" w:pos="8306"/>
      </w:tabs>
      <w:spacing w:after="120"/>
    </w:pPr>
    <w:rPr>
      <w:rFonts w:ascii="Palatino" w:hAnsi="Palatino"/>
      <w:sz w:val="20"/>
    </w:rPr>
  </w:style>
  <w:style w:type="character" w:customStyle="1" w:styleId="FooterChar">
    <w:name w:val="Footer Char"/>
    <w:basedOn w:val="DefaultParagraphFont"/>
    <w:link w:val="Footer"/>
    <w:uiPriority w:val="99"/>
    <w:semiHidden/>
    <w:rPr>
      <w:rFonts w:ascii="Palatino Linotype" w:hAnsi="Palatino Linotype"/>
      <w:szCs w:val="24"/>
      <w:lang w:eastAsia="en-US"/>
    </w:rPr>
  </w:style>
  <w:style w:type="paragraph" w:styleId="Caption">
    <w:name w:val="caption"/>
    <w:basedOn w:val="Normal"/>
    <w:next w:val="Normal"/>
    <w:uiPriority w:val="99"/>
    <w:qFormat/>
    <w:pPr>
      <w:spacing w:before="120" w:after="120"/>
    </w:pPr>
    <w:rPr>
      <w:rFonts w:ascii="Arial" w:hAnsi="Arial" w:cs="Arial"/>
      <w:b/>
      <w:spacing w:val="-10"/>
      <w:sz w:val="20"/>
      <w:szCs w:val="20"/>
    </w:rPr>
  </w:style>
  <w:style w:type="paragraph" w:styleId="Header">
    <w:name w:val="header"/>
    <w:basedOn w:val="Normal"/>
    <w:link w:val="HeaderChar"/>
    <w:uiPriority w:val="99"/>
    <w:pPr>
      <w:tabs>
        <w:tab w:val="center" w:pos="4153"/>
        <w:tab w:val="right" w:pos="8306"/>
      </w:tabs>
      <w:spacing w:after="120"/>
    </w:pPr>
    <w:rPr>
      <w:rFonts w:ascii="Palatino" w:hAnsi="Palatino"/>
      <w:i/>
      <w:sz w:val="20"/>
    </w:rPr>
  </w:style>
  <w:style w:type="character" w:customStyle="1" w:styleId="HeaderChar">
    <w:name w:val="Header Char"/>
    <w:basedOn w:val="DefaultParagraphFont"/>
    <w:link w:val="Header"/>
    <w:uiPriority w:val="99"/>
    <w:semiHidden/>
    <w:rPr>
      <w:rFonts w:ascii="Palatino Linotype" w:hAnsi="Palatino Linotype"/>
      <w:szCs w:val="24"/>
      <w:lang w:eastAsia="en-US"/>
    </w:rPr>
  </w:style>
  <w:style w:type="character" w:styleId="PageNumber">
    <w:name w:val="page number"/>
    <w:basedOn w:val="DefaultParagraphFont"/>
    <w:uiPriority w:val="99"/>
    <w:rPr>
      <w:rFonts w:ascii="Palatino" w:hAnsi="Palatino" w:cs="Times New Roman"/>
      <w:sz w:val="22"/>
    </w:rPr>
  </w:style>
  <w:style w:type="paragraph" w:customStyle="1" w:styleId="Partheading">
    <w:name w:val="Part heading"/>
    <w:basedOn w:val="Normal"/>
    <w:uiPriority w:val="99"/>
    <w:pPr>
      <w:keepNext w:val="0"/>
      <w:pBdr>
        <w:top w:val="single" w:sz="4" w:space="4" w:color="91004B"/>
        <w:left w:val="single" w:sz="4" w:space="4" w:color="91004B"/>
        <w:bottom w:val="single" w:sz="4" w:space="4" w:color="91004B"/>
        <w:right w:val="single" w:sz="4" w:space="4" w:color="91004B"/>
      </w:pBdr>
      <w:spacing w:before="1200" w:after="0"/>
      <w:jc w:val="center"/>
      <w:outlineLvl w:val="0"/>
    </w:pPr>
    <w:rPr>
      <w:rFonts w:ascii="DIN-Medium" w:hAnsi="DIN-Medium"/>
      <w:b/>
      <w:caps/>
      <w:kern w:val="32"/>
      <w:sz w:val="32"/>
      <w:szCs w:val="32"/>
      <w:lang w:val="en-GB"/>
    </w:rPr>
  </w:style>
  <w:style w:type="paragraph" w:styleId="Subtitle">
    <w:name w:val="Subtitle"/>
    <w:basedOn w:val="Title"/>
    <w:link w:val="SubtitleChar"/>
    <w:uiPriority w:val="99"/>
    <w:qFormat/>
    <w:pPr>
      <w:spacing w:before="0"/>
      <w:outlineLvl w:val="1"/>
    </w:pPr>
    <w:rPr>
      <w:b/>
      <w:sz w:val="36"/>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eastAsia="en-US"/>
    </w:rPr>
  </w:style>
  <w:style w:type="paragraph" w:styleId="Title">
    <w:name w:val="Title"/>
    <w:basedOn w:val="Normal"/>
    <w:next w:val="Subtitle"/>
    <w:link w:val="TitleChar"/>
    <w:uiPriority w:val="99"/>
    <w:qFormat/>
    <w:pPr>
      <w:keepNext w:val="0"/>
      <w:spacing w:before="60" w:after="280"/>
      <w:jc w:val="right"/>
      <w:outlineLvl w:val="0"/>
    </w:pPr>
    <w:rPr>
      <w:rFonts w:ascii="DIN-Bold" w:hAnsi="DIN-Bold"/>
      <w:caps/>
      <w:kern w:val="28"/>
      <w:sz w:val="40"/>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table" w:styleId="TableGrid">
    <w:name w:val="Table Grid"/>
    <w:basedOn w:val="TableNormal"/>
    <w:uiPriority w:val="99"/>
    <w:pPr>
      <w:keepNext/>
      <w:spacing w:after="180" w:line="240" w:lineRule="auto"/>
    </w:pPr>
    <w:rPr>
      <w:rFonts w:ascii="Arial" w:hAnsi="Arial"/>
      <w:sz w:val="19"/>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aliases w:val="&quot;Table of Contents&quot; text"/>
    <w:basedOn w:val="Normal"/>
    <w:next w:val="Normal"/>
    <w:uiPriority w:val="99"/>
    <w:pPr>
      <w:spacing w:after="120"/>
    </w:pPr>
    <w:rPr>
      <w:smallCaps/>
    </w:rPr>
  </w:style>
  <w:style w:type="paragraph" w:styleId="TOC1">
    <w:name w:val="toc 1"/>
    <w:basedOn w:val="Normal"/>
    <w:next w:val="Normal"/>
    <w:autoRedefine/>
    <w:uiPriority w:val="99"/>
    <w:semiHidden/>
    <w:pPr>
      <w:keepNext w:val="0"/>
      <w:tabs>
        <w:tab w:val="left" w:pos="350"/>
        <w:tab w:val="right" w:leader="dot" w:pos="8505"/>
      </w:tabs>
      <w:spacing w:before="180" w:after="60"/>
    </w:pPr>
    <w:rPr>
      <w:b/>
      <w:smallCaps/>
      <w:noProof/>
      <w:lang w:val="en-GB"/>
    </w:rPr>
  </w:style>
  <w:style w:type="paragraph" w:styleId="TOC2">
    <w:name w:val="toc 2"/>
    <w:basedOn w:val="Normal"/>
    <w:next w:val="Normal"/>
    <w:autoRedefine/>
    <w:uiPriority w:val="99"/>
    <w:semiHidden/>
    <w:pPr>
      <w:keepNext w:val="0"/>
      <w:tabs>
        <w:tab w:val="left" w:pos="851"/>
        <w:tab w:val="right" w:leader="dot" w:pos="8505"/>
      </w:tabs>
      <w:spacing w:before="120" w:after="60"/>
      <w:ind w:left="425"/>
    </w:pPr>
    <w:rPr>
      <w:noProof/>
    </w:rPr>
  </w:style>
  <w:style w:type="paragraph" w:styleId="TOC3">
    <w:name w:val="toc 3"/>
    <w:basedOn w:val="Normal"/>
    <w:next w:val="Normal"/>
    <w:autoRedefine/>
    <w:uiPriority w:val="99"/>
    <w:semiHidden/>
    <w:pPr>
      <w:tabs>
        <w:tab w:val="left" w:pos="1560"/>
        <w:tab w:val="right" w:leader="dot" w:pos="8505"/>
      </w:tabs>
      <w:spacing w:after="60"/>
      <w:ind w:left="851"/>
    </w:pPr>
  </w:style>
  <w:style w:type="paragraph" w:customStyle="1" w:styleId="TableText">
    <w:name w:val="Table Text"/>
    <w:basedOn w:val="Normal"/>
    <w:uiPriority w:val="99"/>
    <w:pPr>
      <w:widowControl w:val="0"/>
      <w:spacing w:after="120"/>
    </w:pPr>
    <w:rPr>
      <w:rFonts w:ascii="Times New Roman" w:hAnsi="Times New Roman"/>
    </w:rPr>
  </w:style>
  <w:style w:type="paragraph" w:styleId="BodyText2">
    <w:name w:val="Body Text 2"/>
    <w:basedOn w:val="Normal"/>
    <w:link w:val="BodyText2Char"/>
    <w:uiPriority w:val="99"/>
    <w:rPr>
      <w:rFonts w:ascii="Times New Roman" w:hAnsi="Times New Roman"/>
      <w:sz w:val="48"/>
    </w:rPr>
  </w:style>
  <w:style w:type="character" w:customStyle="1" w:styleId="BodyText2Char">
    <w:name w:val="Body Text 2 Char"/>
    <w:basedOn w:val="DefaultParagraphFont"/>
    <w:link w:val="BodyText2"/>
    <w:uiPriority w:val="99"/>
    <w:semiHidden/>
    <w:rPr>
      <w:rFonts w:ascii="Palatino Linotype" w:hAnsi="Palatino Linotype"/>
      <w:szCs w:val="24"/>
      <w:lang w:eastAsia="en-US"/>
    </w:rPr>
  </w:style>
  <w:style w:type="paragraph" w:styleId="BodyText3">
    <w:name w:val="Body Text 3"/>
    <w:basedOn w:val="Normal"/>
    <w:link w:val="BodyText3Char"/>
    <w:uiPriority w:val="99"/>
    <w:pPr>
      <w:spacing w:after="120"/>
    </w:pPr>
    <w:rPr>
      <w:rFonts w:ascii="Times New Roman" w:hAnsi="Times New Roman"/>
      <w:sz w:val="20"/>
    </w:rPr>
  </w:style>
  <w:style w:type="character" w:customStyle="1" w:styleId="BodyText3Char">
    <w:name w:val="Body Text 3 Char"/>
    <w:basedOn w:val="DefaultParagraphFont"/>
    <w:link w:val="BodyText3"/>
    <w:uiPriority w:val="99"/>
    <w:semiHidden/>
    <w:rPr>
      <w:rFonts w:ascii="Palatino Linotype" w:hAnsi="Palatino Linotype"/>
      <w:sz w:val="16"/>
      <w:szCs w:val="16"/>
      <w:lang w:eastAsia="en-US"/>
    </w:rPr>
  </w:style>
  <w:style w:type="paragraph" w:customStyle="1" w:styleId="Halftitle">
    <w:name w:val="Half title"/>
    <w:basedOn w:val="Title"/>
    <w:next w:val="Halftitlesubtitle"/>
    <w:uiPriority w:val="99"/>
    <w:pPr>
      <w:spacing w:before="0" w:after="320"/>
      <w:jc w:val="center"/>
    </w:pPr>
    <w:rPr>
      <w:rFonts w:ascii="DIN-Medium" w:hAnsi="DIN-Medium"/>
      <w:sz w:val="36"/>
    </w:rPr>
  </w:style>
  <w:style w:type="paragraph" w:customStyle="1" w:styleId="Halftitlesubtitle">
    <w:name w:val="Half title subtitle"/>
    <w:basedOn w:val="Halftitle"/>
    <w:next w:val="Halftitletext"/>
    <w:uiPriority w:val="99"/>
    <w:pPr>
      <w:spacing w:after="280"/>
    </w:pPr>
    <w:rPr>
      <w:caps w:val="0"/>
      <w:sz w:val="32"/>
    </w:rPr>
  </w:style>
  <w:style w:type="paragraph" w:customStyle="1" w:styleId="Halftitletext">
    <w:name w:val="Half title text"/>
    <w:basedOn w:val="Halftitlesubtitle"/>
    <w:uiPriority w:val="99"/>
    <w:pPr>
      <w:spacing w:before="120" w:after="240"/>
    </w:pPr>
    <w:rPr>
      <w:rFonts w:ascii="DIN-Regular" w:hAnsi="DIN-Regular"/>
      <w:sz w:val="28"/>
    </w:rPr>
  </w:style>
  <w:style w:type="paragraph" w:customStyle="1" w:styleId="Headingother">
    <w:name w:val="Heading other"/>
    <w:basedOn w:val="Heading1"/>
    <w:uiPriority w:val="99"/>
    <w:pPr>
      <w:numPr>
        <w:numId w:val="0"/>
      </w:numPr>
    </w:pPr>
  </w:style>
  <w:style w:type="paragraph" w:customStyle="1" w:styleId="Style1">
    <w:name w:val="Style1"/>
    <w:basedOn w:val="Normal"/>
    <w:uiPriority w:val="99"/>
    <w:rPr>
      <w:rFonts w:ascii="DIN-Medium" w:hAnsi="DIN-Medium"/>
    </w:rPr>
  </w:style>
  <w:style w:type="paragraph" w:styleId="ListBullet">
    <w:name w:val="List Bullet"/>
    <w:basedOn w:val="Normal"/>
    <w:uiPriority w:val="99"/>
    <w:pPr>
      <w:spacing w:after="120"/>
    </w:pPr>
  </w:style>
  <w:style w:type="paragraph" w:styleId="EndnoteText">
    <w:name w:val="endnote text"/>
    <w:basedOn w:val="Normal"/>
    <w:link w:val="EndnoteTextChar"/>
    <w:uiPriority w:val="99"/>
    <w:semiHidden/>
    <w:pPr>
      <w:spacing w:before="120" w:after="120"/>
    </w:pPr>
  </w:style>
  <w:style w:type="character" w:customStyle="1" w:styleId="EndnoteTextChar">
    <w:name w:val="Endnote Text Char"/>
    <w:basedOn w:val="DefaultParagraphFont"/>
    <w:link w:val="EndnoteText"/>
    <w:uiPriority w:val="99"/>
    <w:semiHidden/>
    <w:rPr>
      <w:rFonts w:ascii="Palatino Linotype" w:hAnsi="Palatino Linotype"/>
      <w:sz w:val="20"/>
      <w:szCs w:val="20"/>
      <w:lang w:eastAsia="en-US"/>
    </w:rPr>
  </w:style>
  <w:style w:type="paragraph" w:styleId="FootnoteText">
    <w:name w:val="footnote text"/>
    <w:basedOn w:val="Normal"/>
    <w:link w:val="FootnoteTextChar"/>
    <w:uiPriority w:val="99"/>
    <w:semiHidden/>
    <w:pPr>
      <w:spacing w:after="0"/>
    </w:pPr>
    <w:rPr>
      <w:sz w:val="20"/>
    </w:rPr>
  </w:style>
  <w:style w:type="character" w:customStyle="1" w:styleId="FootnoteTextChar">
    <w:name w:val="Footnote Text Char"/>
    <w:basedOn w:val="DefaultParagraphFont"/>
    <w:link w:val="FootnoteText"/>
    <w:uiPriority w:val="99"/>
    <w:semiHidden/>
    <w:rPr>
      <w:rFonts w:ascii="Palatino Linotype" w:hAnsi="Palatino Linotype"/>
      <w:sz w:val="20"/>
      <w:szCs w:val="20"/>
      <w:lang w:eastAsia="en-US"/>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DIN-Regular" w:hAnsi="DIN-Regular"/>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eastAsia="en-US"/>
    </w:rPr>
  </w:style>
  <w:style w:type="paragraph" w:styleId="TOAHeading">
    <w:name w:val="toa heading"/>
    <w:basedOn w:val="Normal"/>
    <w:next w:val="Normal"/>
    <w:uiPriority w:val="99"/>
    <w:semiHidden/>
    <w:pPr>
      <w:spacing w:before="120"/>
    </w:pPr>
    <w:rPr>
      <w:rFonts w:ascii="DIN-Medium" w:hAnsi="DIN-Medium"/>
      <w:b/>
      <w:sz w:val="24"/>
    </w:rPr>
  </w:style>
  <w:style w:type="paragraph" w:styleId="TOC4">
    <w:name w:val="toc 4"/>
    <w:basedOn w:val="Normal"/>
    <w:next w:val="Normal"/>
    <w:autoRedefine/>
    <w:uiPriority w:val="99"/>
    <w:semiHidden/>
    <w:pPr>
      <w:ind w:left="660"/>
    </w:pPr>
  </w:style>
  <w:style w:type="paragraph" w:styleId="TOC5">
    <w:name w:val="toc 5"/>
    <w:basedOn w:val="Normal"/>
    <w:next w:val="Normal"/>
    <w:autoRedefine/>
    <w:uiPriority w:val="99"/>
    <w:semiHidden/>
    <w:pPr>
      <w:ind w:left="880"/>
    </w:pPr>
  </w:style>
  <w:style w:type="paragraph" w:styleId="TOC6">
    <w:name w:val="toc 6"/>
    <w:basedOn w:val="Normal"/>
    <w:next w:val="Normal"/>
    <w:autoRedefine/>
    <w:uiPriority w:val="99"/>
    <w:semiHidden/>
    <w:pPr>
      <w:ind w:left="1100"/>
    </w:pPr>
  </w:style>
  <w:style w:type="paragraph" w:styleId="TOC7">
    <w:name w:val="toc 7"/>
    <w:basedOn w:val="Normal"/>
    <w:next w:val="Normal"/>
    <w:autoRedefine/>
    <w:uiPriority w:val="99"/>
    <w:semiHidden/>
    <w:pPr>
      <w:ind w:left="1320"/>
    </w:pPr>
  </w:style>
  <w:style w:type="paragraph" w:styleId="TOC8">
    <w:name w:val="toc 8"/>
    <w:basedOn w:val="Normal"/>
    <w:next w:val="Normal"/>
    <w:autoRedefine/>
    <w:uiPriority w:val="99"/>
    <w:semiHidden/>
    <w:pPr>
      <w:ind w:left="1540"/>
    </w:pPr>
  </w:style>
  <w:style w:type="paragraph" w:styleId="TOC9">
    <w:name w:val="toc 9"/>
    <w:basedOn w:val="Normal"/>
    <w:next w:val="Normal"/>
    <w:autoRedefine/>
    <w:uiPriority w:val="99"/>
    <w:semiHidden/>
    <w:pPr>
      <w:ind w:left="176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Pr>
      <w:rFonts w:ascii="Tahoma" w:hAnsi="Tahoma" w:cs="Tahoma"/>
      <w:sz w:val="16"/>
      <w:szCs w:val="16"/>
      <w:lang w:eastAsia="en-US"/>
    </w:rPr>
  </w:style>
  <w:style w:type="paragraph" w:customStyle="1" w:styleId="Heading1A">
    <w:name w:val="Heading 1A"/>
    <w:basedOn w:val="Heading1"/>
    <w:uiPriority w:val="99"/>
    <w:pPr>
      <w:numPr>
        <w:numId w:val="0"/>
      </w:numPr>
    </w:pPr>
  </w:style>
  <w:style w:type="character" w:styleId="CommentReference">
    <w:name w:val="annotation reference"/>
    <w:basedOn w:val="DefaultParagraphFont"/>
    <w:uiPriority w:val="99"/>
    <w:semiHidden/>
    <w:rPr>
      <w:rFonts w:cs="Times New Roman"/>
      <w:sz w:val="18"/>
    </w:rPr>
  </w:style>
  <w:style w:type="paragraph" w:styleId="CommentText">
    <w:name w:val="annotation text"/>
    <w:basedOn w:val="Normal"/>
    <w:link w:val="CommentTextChar"/>
    <w:uiPriority w:val="99"/>
    <w:semiHidden/>
    <w:rPr>
      <w:sz w:val="24"/>
    </w:rPr>
  </w:style>
  <w:style w:type="character" w:customStyle="1" w:styleId="CommentTextChar">
    <w:name w:val="Comment Text Char"/>
    <w:basedOn w:val="DefaultParagraphFont"/>
    <w:link w:val="CommentText"/>
    <w:uiPriority w:val="99"/>
    <w:semiHidden/>
    <w:rPr>
      <w:rFonts w:ascii="Palatino Linotype" w:hAnsi="Palatino Linotype"/>
      <w:sz w:val="20"/>
      <w:szCs w:val="20"/>
      <w:lang w:eastAsia="en-US"/>
    </w:rPr>
  </w:style>
  <w:style w:type="paragraph" w:styleId="CommentSubject">
    <w:name w:val="annotation subject"/>
    <w:basedOn w:val="CommentText"/>
    <w:next w:val="CommentText"/>
    <w:link w:val="CommentSubjectChar"/>
    <w:uiPriority w:val="99"/>
    <w:semiHidden/>
    <w:rPr>
      <w:sz w:val="22"/>
    </w:rPr>
  </w:style>
  <w:style w:type="character" w:customStyle="1" w:styleId="CommentSubjectChar">
    <w:name w:val="Comment Subject Char"/>
    <w:basedOn w:val="CommentTextChar"/>
    <w:link w:val="CommentSubject"/>
    <w:uiPriority w:val="99"/>
    <w:semiHidden/>
    <w:rPr>
      <w:b/>
      <w:bCs/>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FootnoteReference">
    <w:name w:val="footnote reference"/>
    <w:basedOn w:val="DefaultParagraphFont"/>
    <w:uiPriority w:val="99"/>
    <w:semiHidden/>
    <w:rPr>
      <w:rFonts w:cs="Times New Roman"/>
      <w:vertAlign w:val="superscript"/>
    </w:rPr>
  </w:style>
  <w:style w:type="character" w:styleId="Hyperlink">
    <w:name w:val="Hyperlink"/>
    <w:basedOn w:val="DefaultParagraphFont"/>
    <w:uiPriority w:val="99"/>
    <w:rPr>
      <w:rFonts w:cs="Times New Roman"/>
      <w:color w:val="0000FF"/>
      <w:u w:val="single"/>
    </w:rPr>
  </w:style>
  <w:style w:type="paragraph" w:customStyle="1" w:styleId="Bulletpointa">
    <w:name w:val="Bullet pointa"/>
    <w:basedOn w:val="Normal"/>
    <w:uiPriority w:val="99"/>
    <w:pPr>
      <w:keepNext w:val="0"/>
      <w:widowControl w:val="0"/>
      <w:numPr>
        <w:numId w:val="6"/>
      </w:numPr>
      <w:spacing w:after="120"/>
    </w:pPr>
  </w:style>
  <w:style w:type="paragraph" w:customStyle="1" w:styleId="Bulletpointb">
    <w:name w:val="Bullet pointb"/>
    <w:basedOn w:val="Bulletpointa"/>
    <w:uiPriority w:val="99"/>
    <w:pPr>
      <w:numPr>
        <w:numId w:val="11"/>
      </w:numPr>
      <w:tabs>
        <w:tab w:val="num" w:pos="720"/>
      </w:tabs>
      <w:spacing w:before="60"/>
    </w:pPr>
    <w:rPr>
      <w:color w:val="800080"/>
    </w:rPr>
  </w:style>
  <w:style w:type="paragraph" w:customStyle="1" w:styleId="Normal-violet">
    <w:name w:val="Normal - violet"/>
    <w:basedOn w:val="Normal"/>
    <w:link w:val="Normal-violetChar"/>
    <w:uiPriority w:val="99"/>
    <w:pPr>
      <w:keepNext w:val="0"/>
    </w:pPr>
  </w:style>
  <w:style w:type="character" w:customStyle="1" w:styleId="Normal-violetChar">
    <w:name w:val="Normal - violet Char"/>
    <w:basedOn w:val="DefaultParagraphFont"/>
    <w:link w:val="Normal-violet"/>
    <w:uiPriority w:val="99"/>
    <w:locked/>
    <w:rPr>
      <w:rFonts w:ascii="Palatino" w:hAnsi="Palatino" w:cs="Times New Roman"/>
      <w:sz w:val="24"/>
      <w:szCs w:val="24"/>
      <w:lang w:val="en-AU" w:eastAsia="en-US" w:bidi="ar-SA"/>
    </w:rPr>
  </w:style>
  <w:style w:type="paragraph" w:customStyle="1" w:styleId="Heading2a">
    <w:name w:val="Heading 2a"/>
    <w:basedOn w:val="Heading2"/>
    <w:uiPriority w:val="99"/>
    <w:pPr>
      <w:numPr>
        <w:ilvl w:val="0"/>
        <w:numId w:val="0"/>
      </w:numPr>
    </w:pPr>
  </w:style>
  <w:style w:type="paragraph" w:customStyle="1" w:styleId="Heading3a">
    <w:name w:val="Heading 3a"/>
    <w:basedOn w:val="Heading3"/>
    <w:uiPriority w:val="99"/>
    <w:pPr>
      <w:numPr>
        <w:ilvl w:val="0"/>
        <w:numId w:val="0"/>
      </w:numPr>
    </w:pPr>
  </w:style>
  <w:style w:type="character" w:styleId="FollowedHyperlink">
    <w:name w:val="FollowedHyperlink"/>
    <w:basedOn w:val="DefaultParagraphFont"/>
    <w:uiPriority w:val="99"/>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874196671">
      <w:marLeft w:val="0"/>
      <w:marRight w:val="0"/>
      <w:marTop w:val="0"/>
      <w:marBottom w:val="0"/>
      <w:divBdr>
        <w:top w:val="none" w:sz="0" w:space="0" w:color="auto"/>
        <w:left w:val="none" w:sz="0" w:space="0" w:color="auto"/>
        <w:bottom w:val="none" w:sz="0" w:space="0" w:color="auto"/>
        <w:right w:val="none" w:sz="0" w:space="0" w:color="auto"/>
      </w:divBdr>
    </w:div>
    <w:div w:id="874196672">
      <w:marLeft w:val="0"/>
      <w:marRight w:val="0"/>
      <w:marTop w:val="0"/>
      <w:marBottom w:val="0"/>
      <w:divBdr>
        <w:top w:val="none" w:sz="0" w:space="0" w:color="auto"/>
        <w:left w:val="none" w:sz="0" w:space="0" w:color="auto"/>
        <w:bottom w:val="none" w:sz="0" w:space="0" w:color="auto"/>
        <w:right w:val="none" w:sz="0" w:space="0" w:color="auto"/>
      </w:divBdr>
    </w:div>
    <w:div w:id="874196673">
      <w:marLeft w:val="0"/>
      <w:marRight w:val="0"/>
      <w:marTop w:val="0"/>
      <w:marBottom w:val="0"/>
      <w:divBdr>
        <w:top w:val="none" w:sz="0" w:space="0" w:color="auto"/>
        <w:left w:val="none" w:sz="0" w:space="0" w:color="auto"/>
        <w:bottom w:val="none" w:sz="0" w:space="0" w:color="auto"/>
        <w:right w:val="none" w:sz="0" w:space="0" w:color="auto"/>
      </w:divBdr>
    </w:div>
    <w:div w:id="874196674">
      <w:marLeft w:val="0"/>
      <w:marRight w:val="0"/>
      <w:marTop w:val="0"/>
      <w:marBottom w:val="0"/>
      <w:divBdr>
        <w:top w:val="none" w:sz="0" w:space="0" w:color="auto"/>
        <w:left w:val="none" w:sz="0" w:space="0" w:color="auto"/>
        <w:bottom w:val="none" w:sz="0" w:space="0" w:color="auto"/>
        <w:right w:val="none" w:sz="0" w:space="0" w:color="auto"/>
      </w:divBdr>
    </w:div>
    <w:div w:id="874196675">
      <w:marLeft w:val="0"/>
      <w:marRight w:val="0"/>
      <w:marTop w:val="0"/>
      <w:marBottom w:val="0"/>
      <w:divBdr>
        <w:top w:val="none" w:sz="0" w:space="0" w:color="auto"/>
        <w:left w:val="none" w:sz="0" w:space="0" w:color="auto"/>
        <w:bottom w:val="none" w:sz="0" w:space="0" w:color="auto"/>
        <w:right w:val="none" w:sz="0" w:space="0" w:color="auto"/>
      </w:divBdr>
    </w:div>
    <w:div w:id="874196676">
      <w:marLeft w:val="0"/>
      <w:marRight w:val="0"/>
      <w:marTop w:val="0"/>
      <w:marBottom w:val="0"/>
      <w:divBdr>
        <w:top w:val="none" w:sz="0" w:space="0" w:color="auto"/>
        <w:left w:val="none" w:sz="0" w:space="0" w:color="auto"/>
        <w:bottom w:val="none" w:sz="0" w:space="0" w:color="auto"/>
        <w:right w:val="none" w:sz="0" w:space="0" w:color="auto"/>
      </w:divBdr>
    </w:div>
    <w:div w:id="874196677">
      <w:marLeft w:val="0"/>
      <w:marRight w:val="0"/>
      <w:marTop w:val="0"/>
      <w:marBottom w:val="0"/>
      <w:divBdr>
        <w:top w:val="none" w:sz="0" w:space="0" w:color="auto"/>
        <w:left w:val="none" w:sz="0" w:space="0" w:color="auto"/>
        <w:bottom w:val="none" w:sz="0" w:space="0" w:color="auto"/>
        <w:right w:val="none" w:sz="0" w:space="0" w:color="auto"/>
      </w:divBdr>
    </w:div>
    <w:div w:id="874196678">
      <w:marLeft w:val="0"/>
      <w:marRight w:val="0"/>
      <w:marTop w:val="0"/>
      <w:marBottom w:val="0"/>
      <w:divBdr>
        <w:top w:val="none" w:sz="0" w:space="0" w:color="auto"/>
        <w:left w:val="none" w:sz="0" w:space="0" w:color="auto"/>
        <w:bottom w:val="none" w:sz="0" w:space="0" w:color="auto"/>
        <w:right w:val="none" w:sz="0" w:space="0" w:color="auto"/>
      </w:divBdr>
    </w:div>
    <w:div w:id="874196679">
      <w:marLeft w:val="0"/>
      <w:marRight w:val="0"/>
      <w:marTop w:val="0"/>
      <w:marBottom w:val="0"/>
      <w:divBdr>
        <w:top w:val="none" w:sz="0" w:space="0" w:color="auto"/>
        <w:left w:val="none" w:sz="0" w:space="0" w:color="auto"/>
        <w:bottom w:val="none" w:sz="0" w:space="0" w:color="auto"/>
        <w:right w:val="none" w:sz="0" w:space="0" w:color="auto"/>
      </w:divBdr>
    </w:div>
    <w:div w:id="874196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0.xml"/><Relationship Id="rId26" Type="http://schemas.openxmlformats.org/officeDocument/2006/relationships/image" Target="media/image10.emf"/><Relationship Id="rId39" Type="http://schemas.openxmlformats.org/officeDocument/2006/relationships/image" Target="media/image23.emf"/><Relationship Id="rId21" Type="http://schemas.openxmlformats.org/officeDocument/2006/relationships/image" Target="media/image5.png"/><Relationship Id="rId34" Type="http://schemas.openxmlformats.org/officeDocument/2006/relationships/image" Target="media/image18.emf"/><Relationship Id="rId42" Type="http://schemas.openxmlformats.org/officeDocument/2006/relationships/image" Target="media/image26.emf"/><Relationship Id="rId47" Type="http://schemas.openxmlformats.org/officeDocument/2006/relationships/image" Target="media/image31.emf"/><Relationship Id="rId50" Type="http://schemas.openxmlformats.org/officeDocument/2006/relationships/image" Target="media/image34.png"/><Relationship Id="rId55" Type="http://schemas.openxmlformats.org/officeDocument/2006/relationships/header" Target="header11.xml"/><Relationship Id="rId63" Type="http://schemas.openxmlformats.org/officeDocument/2006/relationships/customXml" Target="../customXml/item3.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8.xml"/><Relationship Id="rId29" Type="http://schemas.openxmlformats.org/officeDocument/2006/relationships/image" Target="media/image13.emf"/><Relationship Id="rId11" Type="http://schemas.openxmlformats.org/officeDocument/2006/relationships/header" Target="header4.xml"/><Relationship Id="rId24" Type="http://schemas.openxmlformats.org/officeDocument/2006/relationships/image" Target="media/image8.png"/><Relationship Id="rId32" Type="http://schemas.openxmlformats.org/officeDocument/2006/relationships/image" Target="media/image16.emf"/><Relationship Id="rId37" Type="http://schemas.openxmlformats.org/officeDocument/2006/relationships/image" Target="media/image21.emf"/><Relationship Id="rId40" Type="http://schemas.openxmlformats.org/officeDocument/2006/relationships/image" Target="media/image24.emf"/><Relationship Id="rId45" Type="http://schemas.openxmlformats.org/officeDocument/2006/relationships/image" Target="media/image29.emf"/><Relationship Id="rId53" Type="http://schemas.openxmlformats.org/officeDocument/2006/relationships/image" Target="media/image37.png"/><Relationship Id="rId58" Type="http://schemas.openxmlformats.org/officeDocument/2006/relationships/header" Target="header13.xml"/><Relationship Id="rId5" Type="http://schemas.openxmlformats.org/officeDocument/2006/relationships/footnotes" Target="footnotes.xml"/><Relationship Id="rId61" Type="http://schemas.openxmlformats.org/officeDocument/2006/relationships/customXml" Target="../customXml/item1.xml"/><Relationship Id="rId19" Type="http://schemas.openxmlformats.org/officeDocument/2006/relationships/image" Target="media/image3.png"/><Relationship Id="rId14" Type="http://schemas.openxmlformats.org/officeDocument/2006/relationships/header" Target="header7.xml"/><Relationship Id="rId22" Type="http://schemas.openxmlformats.org/officeDocument/2006/relationships/image" Target="media/image6.png"/><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 Id="rId43" Type="http://schemas.openxmlformats.org/officeDocument/2006/relationships/image" Target="media/image27.emf"/><Relationship Id="rId48" Type="http://schemas.openxmlformats.org/officeDocument/2006/relationships/image" Target="media/image32.emf"/><Relationship Id="rId56" Type="http://schemas.openxmlformats.org/officeDocument/2006/relationships/header" Target="header12.xml"/><Relationship Id="rId8" Type="http://schemas.openxmlformats.org/officeDocument/2006/relationships/header" Target="header2.xml"/><Relationship Id="rId51" Type="http://schemas.openxmlformats.org/officeDocument/2006/relationships/image" Target="media/image35.emf"/><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image" Target="media/image9.png"/><Relationship Id="rId33" Type="http://schemas.openxmlformats.org/officeDocument/2006/relationships/image" Target="media/image17.emf"/><Relationship Id="rId38" Type="http://schemas.openxmlformats.org/officeDocument/2006/relationships/image" Target="media/image22.emf"/><Relationship Id="rId46" Type="http://schemas.openxmlformats.org/officeDocument/2006/relationships/image" Target="media/image30.wmf"/><Relationship Id="rId59" Type="http://schemas.openxmlformats.org/officeDocument/2006/relationships/fontTable" Target="fontTable.xml"/><Relationship Id="rId20" Type="http://schemas.openxmlformats.org/officeDocument/2006/relationships/image" Target="media/image4.wmf"/><Relationship Id="rId41" Type="http://schemas.openxmlformats.org/officeDocument/2006/relationships/image" Target="media/image25.wmf"/><Relationship Id="rId54" Type="http://schemas.openxmlformats.org/officeDocument/2006/relationships/hyperlink" Target="http://www.watertech.net/projects/perth" TargetMode="External"/><Relationship Id="rId62"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20.png"/><Relationship Id="rId49" Type="http://schemas.openxmlformats.org/officeDocument/2006/relationships/image" Target="media/image33.emf"/><Relationship Id="rId57" Type="http://schemas.openxmlformats.org/officeDocument/2006/relationships/footer" Target="footer3.xml"/><Relationship Id="rId10" Type="http://schemas.openxmlformats.org/officeDocument/2006/relationships/footer" Target="footer1.xml"/><Relationship Id="rId31" Type="http://schemas.openxmlformats.org/officeDocument/2006/relationships/image" Target="media/image15.emf"/><Relationship Id="rId44" Type="http://schemas.openxmlformats.org/officeDocument/2006/relationships/image" Target="media/image28.emf"/><Relationship Id="rId52" Type="http://schemas.openxmlformats.org/officeDocument/2006/relationships/image" Target="media/image36.pn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A4BC83A5EB0949BA8AA642FDD832DC" ma:contentTypeVersion="1" ma:contentTypeDescription="Create a new document." ma:contentTypeScope="" ma:versionID="c7ee566b5a72928f601c58dd101c254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033713-E2C2-4150-B6FE-18BFF246E66B}"/>
</file>

<file path=customXml/itemProps2.xml><?xml version="1.0" encoding="utf-8"?>
<ds:datastoreItem xmlns:ds="http://schemas.openxmlformats.org/officeDocument/2006/customXml" ds:itemID="{D2F196E2-39CC-4957-88E6-D090415E78D9}"/>
</file>

<file path=customXml/itemProps3.xml><?xml version="1.0" encoding="utf-8"?>
<ds:datastoreItem xmlns:ds="http://schemas.openxmlformats.org/officeDocument/2006/customXml" ds:itemID="{2EC1096A-E07E-41FB-8A19-F01A2CD5E68C}"/>
</file>

<file path=docProps/app.xml><?xml version="1.0" encoding="utf-8"?>
<Properties xmlns="http://schemas.openxmlformats.org/officeDocument/2006/extended-properties" xmlns:vt="http://schemas.openxmlformats.org/officeDocument/2006/docPropsVTypes">
  <Template>Normal.dotm</Template>
  <TotalTime>0</TotalTime>
  <Pages>91</Pages>
  <Words>28251</Words>
  <Characters>161035</Characters>
  <Application>Microsoft Office Word</Application>
  <DocSecurity>0</DocSecurity>
  <Lines>1341</Lines>
  <Paragraphs>377</Paragraphs>
  <ScaleCrop>false</ScaleCrop>
  <LinksUpToDate>false</LinksUpToDate>
  <CharactersWithSpaces>188909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effectiveness analysis of WELS</dc:title>
  <dc:creator/>
  <cp:lastModifiedBy/>
  <cp:revision>1</cp:revision>
  <cp:lastPrinted>2008-10-28T06:34:00Z</cp:lastPrinted>
  <dcterms:created xsi:type="dcterms:W3CDTF">2012-04-24T06:32:00Z</dcterms:created>
  <dcterms:modified xsi:type="dcterms:W3CDTF">2012-04-24T06:32:00Z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0x0101006EA4BC83A5EB0949BA8AA642FDD832DC</vt:lpwstr>
  </property>
</Properties>
</file>